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89" w:rsidRPr="006C08AA" w:rsidRDefault="00DE6E89" w:rsidP="00DE6E89">
      <w:pPr>
        <w:autoSpaceDE w:val="0"/>
        <w:autoSpaceDN w:val="0"/>
        <w:adjustRightInd w:val="0"/>
        <w:spacing w:after="20" w:line="21" w:lineRule="atLeast"/>
        <w:ind w:left="144" w:right="144"/>
        <w:jc w:val="center"/>
        <w:rPr>
          <w:rFonts w:ascii="Arial" w:hAnsi="Arial" w:cs="Arial"/>
          <w:bCs/>
          <w:sz w:val="20"/>
          <w:szCs w:val="20"/>
        </w:rPr>
      </w:pPr>
      <w:bookmarkStart w:id="0" w:name="_GoBack"/>
      <w:bookmarkEnd w:id="0"/>
      <w:r w:rsidRPr="006C08AA">
        <w:rPr>
          <w:rFonts w:ascii="Arial" w:hAnsi="Arial" w:cs="Arial"/>
          <w:bCs/>
          <w:sz w:val="20"/>
          <w:szCs w:val="20"/>
        </w:rPr>
        <w:t>RULES OF THE ENERGY EFFICIENT SCHOOLS COUNCIL</w:t>
      </w:r>
    </w:p>
    <w:p w:rsidR="00DE6E89" w:rsidRPr="006C08AA" w:rsidRDefault="00DE6E89" w:rsidP="00DE6E89">
      <w:pPr>
        <w:autoSpaceDE w:val="0"/>
        <w:autoSpaceDN w:val="0"/>
        <w:adjustRightInd w:val="0"/>
        <w:spacing w:after="20" w:line="21" w:lineRule="atLeast"/>
        <w:ind w:left="144" w:right="144"/>
        <w:jc w:val="center"/>
        <w:rPr>
          <w:rFonts w:ascii="Arial" w:hAnsi="Arial" w:cs="Arial"/>
          <w:bCs/>
          <w:sz w:val="20"/>
          <w:szCs w:val="20"/>
        </w:rPr>
      </w:pPr>
      <w:r w:rsidRPr="006C08AA">
        <w:rPr>
          <w:rFonts w:ascii="Arial" w:hAnsi="Arial" w:cs="Arial"/>
          <w:bCs/>
          <w:sz w:val="20"/>
          <w:szCs w:val="20"/>
        </w:rPr>
        <w:t>CHAPTER 0520-13-01</w:t>
      </w:r>
    </w:p>
    <w:p w:rsidR="00DE6E89" w:rsidRPr="006C08AA" w:rsidRDefault="00DE6E89" w:rsidP="00DE6E89">
      <w:pPr>
        <w:autoSpaceDE w:val="0"/>
        <w:autoSpaceDN w:val="0"/>
        <w:adjustRightInd w:val="0"/>
        <w:spacing w:after="20" w:line="21" w:lineRule="atLeast"/>
        <w:ind w:left="144" w:right="144"/>
        <w:jc w:val="center"/>
        <w:rPr>
          <w:rFonts w:ascii="Arial" w:hAnsi="Arial" w:cs="Arial"/>
          <w:bCs/>
          <w:sz w:val="20"/>
          <w:szCs w:val="20"/>
        </w:rPr>
      </w:pPr>
      <w:r w:rsidRPr="006C08AA">
        <w:rPr>
          <w:rFonts w:ascii="Arial" w:hAnsi="Arial" w:cs="Arial"/>
          <w:bCs/>
          <w:sz w:val="20"/>
          <w:szCs w:val="20"/>
        </w:rPr>
        <w:t>ENERGY EFFICIENT SCHOOLS LOAN PROGRAM</w:t>
      </w:r>
    </w:p>
    <w:p w:rsidR="00DE6E89" w:rsidRPr="006C08AA" w:rsidRDefault="00DE6E89" w:rsidP="00DE6E89">
      <w:pPr>
        <w:spacing w:after="20" w:line="21" w:lineRule="atLeast"/>
        <w:ind w:left="144" w:right="144"/>
        <w:jc w:val="center"/>
        <w:rPr>
          <w:rFonts w:ascii="Arial" w:hAnsi="Arial" w:cs="Arial"/>
          <w:bCs/>
          <w:sz w:val="20"/>
          <w:szCs w:val="20"/>
        </w:rPr>
      </w:pPr>
    </w:p>
    <w:p w:rsidR="00DE6E89" w:rsidRPr="006C08AA" w:rsidRDefault="00DE6E89" w:rsidP="00DE6E89">
      <w:pPr>
        <w:spacing w:after="20" w:line="21" w:lineRule="atLeast"/>
        <w:ind w:left="144" w:right="144"/>
        <w:jc w:val="center"/>
        <w:rPr>
          <w:rFonts w:ascii="Arial" w:hAnsi="Arial" w:cs="Arial"/>
          <w:bCs/>
          <w:sz w:val="20"/>
          <w:szCs w:val="20"/>
        </w:rPr>
      </w:pPr>
      <w:r w:rsidRPr="006C08AA">
        <w:rPr>
          <w:rFonts w:ascii="Arial" w:hAnsi="Arial" w:cs="Arial"/>
          <w:bCs/>
          <w:sz w:val="20"/>
          <w:szCs w:val="20"/>
        </w:rPr>
        <w:t>TABLE OF CONTENTS</w:t>
      </w:r>
    </w:p>
    <w:p w:rsidR="00DE6E89" w:rsidRPr="006C08AA" w:rsidRDefault="00DE6E89" w:rsidP="00DE6E89">
      <w:pPr>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sz w:val="20"/>
          <w:szCs w:val="20"/>
        </w:rPr>
        <w:t>0520-13-</w:t>
      </w:r>
      <w:r w:rsidR="00B3408F" w:rsidRPr="006C08AA">
        <w:rPr>
          <w:rFonts w:ascii="Arial" w:hAnsi="Arial" w:cs="Arial"/>
          <w:sz w:val="20"/>
          <w:szCs w:val="20"/>
        </w:rPr>
        <w:t>0</w:t>
      </w:r>
      <w:r w:rsidRPr="006C08AA">
        <w:rPr>
          <w:rFonts w:ascii="Arial" w:hAnsi="Arial" w:cs="Arial"/>
          <w:sz w:val="20"/>
          <w:szCs w:val="20"/>
        </w:rPr>
        <w:t xml:space="preserve">1-.01 </w:t>
      </w:r>
      <w:r w:rsidRPr="006C08AA">
        <w:rPr>
          <w:rFonts w:ascii="Arial" w:hAnsi="Arial" w:cs="Arial"/>
          <w:sz w:val="20"/>
          <w:szCs w:val="20"/>
        </w:rPr>
        <w:tab/>
        <w:t xml:space="preserve">Authority </w:t>
      </w:r>
      <w:r w:rsidRPr="006C08AA">
        <w:rPr>
          <w:rFonts w:ascii="Arial" w:hAnsi="Arial" w:cs="Arial"/>
          <w:sz w:val="20"/>
          <w:szCs w:val="20"/>
        </w:rPr>
        <w:tab/>
      </w:r>
      <w:r w:rsidRPr="006C08AA">
        <w:rPr>
          <w:rFonts w:ascii="Arial" w:hAnsi="Arial" w:cs="Arial"/>
          <w:sz w:val="20"/>
          <w:szCs w:val="20"/>
        </w:rPr>
        <w:tab/>
      </w:r>
      <w:r w:rsidRPr="006C08AA">
        <w:rPr>
          <w:rFonts w:ascii="Arial" w:hAnsi="Arial" w:cs="Arial"/>
          <w:sz w:val="20"/>
          <w:szCs w:val="20"/>
        </w:rPr>
        <w:tab/>
      </w:r>
      <w:r w:rsidRPr="006C08AA">
        <w:rPr>
          <w:rFonts w:ascii="Arial" w:hAnsi="Arial" w:cs="Arial"/>
          <w:sz w:val="20"/>
          <w:szCs w:val="20"/>
        </w:rPr>
        <w:tab/>
        <w:t>0520-13-</w:t>
      </w:r>
      <w:r w:rsidR="00B3408F" w:rsidRPr="006C08AA">
        <w:rPr>
          <w:rFonts w:ascii="Arial" w:hAnsi="Arial" w:cs="Arial"/>
          <w:sz w:val="20"/>
          <w:szCs w:val="20"/>
        </w:rPr>
        <w:t>0</w:t>
      </w:r>
      <w:r w:rsidRPr="006C08AA">
        <w:rPr>
          <w:rFonts w:ascii="Arial" w:hAnsi="Arial" w:cs="Arial"/>
          <w:sz w:val="20"/>
          <w:szCs w:val="20"/>
        </w:rPr>
        <w:t xml:space="preserve">1-.06 </w:t>
      </w:r>
      <w:r w:rsidRPr="006C08AA">
        <w:rPr>
          <w:rFonts w:ascii="Arial" w:hAnsi="Arial" w:cs="Arial"/>
          <w:sz w:val="20"/>
          <w:szCs w:val="20"/>
        </w:rPr>
        <w:tab/>
        <w:t>Loan Terms</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sz w:val="20"/>
          <w:szCs w:val="20"/>
        </w:rPr>
        <w:t>0520-13-</w:t>
      </w:r>
      <w:r w:rsidR="00B3408F" w:rsidRPr="006C08AA">
        <w:rPr>
          <w:rFonts w:ascii="Arial" w:hAnsi="Arial" w:cs="Arial"/>
          <w:sz w:val="20"/>
          <w:szCs w:val="20"/>
        </w:rPr>
        <w:t>0</w:t>
      </w:r>
      <w:r w:rsidRPr="006C08AA">
        <w:rPr>
          <w:rFonts w:ascii="Arial" w:hAnsi="Arial" w:cs="Arial"/>
          <w:sz w:val="20"/>
          <w:szCs w:val="20"/>
        </w:rPr>
        <w:t xml:space="preserve">1-.02 </w:t>
      </w:r>
      <w:r w:rsidRPr="006C08AA">
        <w:rPr>
          <w:rFonts w:ascii="Arial" w:hAnsi="Arial" w:cs="Arial"/>
          <w:sz w:val="20"/>
          <w:szCs w:val="20"/>
        </w:rPr>
        <w:tab/>
        <w:t xml:space="preserve">Purpose and Scope </w:t>
      </w:r>
      <w:r w:rsidRPr="006C08AA">
        <w:rPr>
          <w:rFonts w:ascii="Arial" w:hAnsi="Arial" w:cs="Arial"/>
          <w:sz w:val="20"/>
          <w:szCs w:val="20"/>
        </w:rPr>
        <w:tab/>
      </w:r>
      <w:r w:rsidRPr="006C08AA">
        <w:rPr>
          <w:rFonts w:ascii="Arial" w:hAnsi="Arial" w:cs="Arial"/>
          <w:sz w:val="20"/>
          <w:szCs w:val="20"/>
        </w:rPr>
        <w:tab/>
      </w:r>
      <w:r w:rsidRPr="006C08AA">
        <w:rPr>
          <w:rFonts w:ascii="Arial" w:hAnsi="Arial" w:cs="Arial"/>
          <w:sz w:val="20"/>
          <w:szCs w:val="20"/>
        </w:rPr>
        <w:tab/>
        <w:t>0520-13-</w:t>
      </w:r>
      <w:r w:rsidR="00B3408F" w:rsidRPr="006C08AA">
        <w:rPr>
          <w:rFonts w:ascii="Arial" w:hAnsi="Arial" w:cs="Arial"/>
          <w:sz w:val="20"/>
          <w:szCs w:val="20"/>
        </w:rPr>
        <w:t>0</w:t>
      </w:r>
      <w:r w:rsidRPr="006C08AA">
        <w:rPr>
          <w:rFonts w:ascii="Arial" w:hAnsi="Arial" w:cs="Arial"/>
          <w:sz w:val="20"/>
          <w:szCs w:val="20"/>
        </w:rPr>
        <w:t>1-.07</w:t>
      </w:r>
      <w:r w:rsidRPr="006C08AA">
        <w:rPr>
          <w:rFonts w:ascii="Arial" w:hAnsi="Arial" w:cs="Arial"/>
          <w:sz w:val="20"/>
          <w:szCs w:val="20"/>
        </w:rPr>
        <w:tab/>
        <w:t>Project Implementation</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sz w:val="20"/>
          <w:szCs w:val="20"/>
        </w:rPr>
        <w:t>0520-13-</w:t>
      </w:r>
      <w:r w:rsidR="00B3408F" w:rsidRPr="006C08AA">
        <w:rPr>
          <w:rFonts w:ascii="Arial" w:hAnsi="Arial" w:cs="Arial"/>
          <w:sz w:val="20"/>
          <w:szCs w:val="20"/>
        </w:rPr>
        <w:t>0</w:t>
      </w:r>
      <w:r w:rsidRPr="006C08AA">
        <w:rPr>
          <w:rFonts w:ascii="Arial" w:hAnsi="Arial" w:cs="Arial"/>
          <w:sz w:val="20"/>
          <w:szCs w:val="20"/>
        </w:rPr>
        <w:t>1-.03</w:t>
      </w:r>
      <w:r w:rsidRPr="006C08AA">
        <w:rPr>
          <w:rFonts w:ascii="Arial" w:hAnsi="Arial" w:cs="Arial"/>
          <w:sz w:val="20"/>
          <w:szCs w:val="20"/>
        </w:rPr>
        <w:tab/>
        <w:t xml:space="preserve">Definitions </w:t>
      </w:r>
      <w:r w:rsidRPr="006C08AA">
        <w:rPr>
          <w:rFonts w:ascii="Arial" w:hAnsi="Arial" w:cs="Arial"/>
          <w:sz w:val="20"/>
          <w:szCs w:val="20"/>
        </w:rPr>
        <w:tab/>
      </w:r>
      <w:r w:rsidRPr="006C08AA">
        <w:rPr>
          <w:rFonts w:ascii="Arial" w:hAnsi="Arial" w:cs="Arial"/>
          <w:sz w:val="20"/>
          <w:szCs w:val="20"/>
        </w:rPr>
        <w:tab/>
      </w:r>
      <w:r w:rsidRPr="006C08AA">
        <w:rPr>
          <w:rFonts w:ascii="Arial" w:hAnsi="Arial" w:cs="Arial"/>
          <w:sz w:val="20"/>
          <w:szCs w:val="20"/>
        </w:rPr>
        <w:tab/>
      </w:r>
      <w:r w:rsidR="00B3408F" w:rsidRPr="006C08AA">
        <w:rPr>
          <w:rFonts w:ascii="Arial" w:hAnsi="Arial" w:cs="Arial"/>
          <w:sz w:val="20"/>
          <w:szCs w:val="20"/>
        </w:rPr>
        <w:tab/>
      </w:r>
      <w:r w:rsidRPr="006C08AA">
        <w:rPr>
          <w:rFonts w:ascii="Arial" w:hAnsi="Arial" w:cs="Arial"/>
          <w:sz w:val="20"/>
          <w:szCs w:val="20"/>
        </w:rPr>
        <w:t>0520-13-</w:t>
      </w:r>
      <w:r w:rsidR="00B3408F" w:rsidRPr="006C08AA">
        <w:rPr>
          <w:rFonts w:ascii="Arial" w:hAnsi="Arial" w:cs="Arial"/>
          <w:sz w:val="20"/>
          <w:szCs w:val="20"/>
        </w:rPr>
        <w:t>0</w:t>
      </w:r>
      <w:r w:rsidRPr="006C08AA">
        <w:rPr>
          <w:rFonts w:ascii="Arial" w:hAnsi="Arial" w:cs="Arial"/>
          <w:sz w:val="20"/>
          <w:szCs w:val="20"/>
        </w:rPr>
        <w:t xml:space="preserve">1-.08 </w:t>
      </w:r>
      <w:r w:rsidRPr="006C08AA">
        <w:rPr>
          <w:rFonts w:ascii="Arial" w:hAnsi="Arial" w:cs="Arial"/>
          <w:sz w:val="20"/>
          <w:szCs w:val="20"/>
        </w:rPr>
        <w:tab/>
        <w:t>Loan Repayment</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sz w:val="20"/>
          <w:szCs w:val="20"/>
        </w:rPr>
        <w:t>0520-13-</w:t>
      </w:r>
      <w:r w:rsidR="00B3408F" w:rsidRPr="006C08AA">
        <w:rPr>
          <w:rFonts w:ascii="Arial" w:hAnsi="Arial" w:cs="Arial"/>
          <w:sz w:val="20"/>
          <w:szCs w:val="20"/>
        </w:rPr>
        <w:t>0</w:t>
      </w:r>
      <w:r w:rsidRPr="006C08AA">
        <w:rPr>
          <w:rFonts w:ascii="Arial" w:hAnsi="Arial" w:cs="Arial"/>
          <w:sz w:val="20"/>
          <w:szCs w:val="20"/>
        </w:rPr>
        <w:t xml:space="preserve">1-.04 </w:t>
      </w:r>
      <w:r w:rsidRPr="006C08AA">
        <w:rPr>
          <w:rFonts w:ascii="Arial" w:hAnsi="Arial" w:cs="Arial"/>
          <w:sz w:val="20"/>
          <w:szCs w:val="20"/>
        </w:rPr>
        <w:tab/>
        <w:t>Eligible Projects</w:t>
      </w:r>
      <w:r w:rsidRPr="006C08AA">
        <w:rPr>
          <w:rFonts w:ascii="Arial" w:hAnsi="Arial" w:cs="Arial"/>
          <w:sz w:val="20"/>
          <w:szCs w:val="20"/>
        </w:rPr>
        <w:tab/>
      </w:r>
      <w:r w:rsidRPr="006C08AA">
        <w:rPr>
          <w:rFonts w:ascii="Arial" w:hAnsi="Arial" w:cs="Arial"/>
          <w:sz w:val="20"/>
          <w:szCs w:val="20"/>
        </w:rPr>
        <w:tab/>
      </w:r>
      <w:r w:rsidRPr="006C08AA">
        <w:rPr>
          <w:rFonts w:ascii="Arial" w:hAnsi="Arial" w:cs="Arial"/>
          <w:sz w:val="20"/>
          <w:szCs w:val="20"/>
        </w:rPr>
        <w:tab/>
      </w:r>
      <w:r w:rsidRPr="006C08AA">
        <w:rPr>
          <w:rFonts w:ascii="Arial" w:hAnsi="Arial" w:cs="Arial"/>
          <w:sz w:val="20"/>
          <w:szCs w:val="20"/>
        </w:rPr>
        <w:tab/>
        <w:t>0520-13-</w:t>
      </w:r>
      <w:r w:rsidR="00B3408F" w:rsidRPr="006C08AA">
        <w:rPr>
          <w:rFonts w:ascii="Arial" w:hAnsi="Arial" w:cs="Arial"/>
          <w:sz w:val="20"/>
          <w:szCs w:val="20"/>
        </w:rPr>
        <w:t>0</w:t>
      </w:r>
      <w:r w:rsidRPr="006C08AA">
        <w:rPr>
          <w:rFonts w:ascii="Arial" w:hAnsi="Arial" w:cs="Arial"/>
          <w:sz w:val="20"/>
          <w:szCs w:val="20"/>
        </w:rPr>
        <w:t xml:space="preserve">1-.09 </w:t>
      </w:r>
      <w:r w:rsidRPr="006C08AA">
        <w:rPr>
          <w:rFonts w:ascii="Arial" w:hAnsi="Arial" w:cs="Arial"/>
          <w:sz w:val="20"/>
          <w:szCs w:val="20"/>
        </w:rPr>
        <w:tab/>
        <w:t>Reporting Requirements</w:t>
      </w:r>
    </w:p>
    <w:p w:rsidR="00DE6E89" w:rsidRPr="006C08AA" w:rsidRDefault="00DE6E89" w:rsidP="00DE6E89">
      <w:pPr>
        <w:autoSpaceDE w:val="0"/>
        <w:autoSpaceDN w:val="0"/>
        <w:adjustRightInd w:val="0"/>
        <w:spacing w:after="20" w:line="21" w:lineRule="atLeast"/>
        <w:ind w:left="144" w:right="144"/>
        <w:contextualSpacing/>
        <w:jc w:val="both"/>
        <w:rPr>
          <w:rFonts w:ascii="Arial" w:hAnsi="Arial" w:cs="Arial"/>
          <w:sz w:val="20"/>
          <w:szCs w:val="20"/>
        </w:rPr>
      </w:pPr>
      <w:r w:rsidRPr="006C08AA">
        <w:rPr>
          <w:rFonts w:ascii="Arial" w:hAnsi="Arial" w:cs="Arial"/>
          <w:sz w:val="20"/>
          <w:szCs w:val="20"/>
        </w:rPr>
        <w:t>0520-13-</w:t>
      </w:r>
      <w:r w:rsidR="00B3408F" w:rsidRPr="006C08AA">
        <w:rPr>
          <w:rFonts w:ascii="Arial" w:hAnsi="Arial" w:cs="Arial"/>
          <w:sz w:val="20"/>
          <w:szCs w:val="20"/>
        </w:rPr>
        <w:t>0</w:t>
      </w:r>
      <w:r w:rsidRPr="006C08AA">
        <w:rPr>
          <w:rFonts w:ascii="Arial" w:hAnsi="Arial" w:cs="Arial"/>
          <w:sz w:val="20"/>
          <w:szCs w:val="20"/>
        </w:rPr>
        <w:t xml:space="preserve">1-.05 </w:t>
      </w:r>
      <w:r w:rsidRPr="006C08AA">
        <w:rPr>
          <w:rFonts w:ascii="Arial" w:hAnsi="Arial" w:cs="Arial"/>
          <w:sz w:val="20"/>
          <w:szCs w:val="20"/>
        </w:rPr>
        <w:tab/>
        <w:t>Loan Application</w:t>
      </w:r>
      <w:r w:rsidRPr="006C08AA">
        <w:rPr>
          <w:rFonts w:ascii="Arial" w:hAnsi="Arial" w:cs="Arial"/>
          <w:sz w:val="20"/>
          <w:szCs w:val="20"/>
        </w:rPr>
        <w:tab/>
      </w:r>
    </w:p>
    <w:p w:rsidR="00DE6E89" w:rsidRPr="006C08AA" w:rsidRDefault="00DE6E89" w:rsidP="00DE6E89">
      <w:pPr>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0520-13-1-.01 AUTHORITY</w:t>
      </w:r>
      <w:r w:rsidRPr="006C08AA">
        <w:rPr>
          <w:rFonts w:ascii="Arial" w:hAnsi="Arial" w:cs="Arial"/>
          <w:sz w:val="20"/>
          <w:szCs w:val="20"/>
        </w:rPr>
        <w:t>. Pursuant to the provisions of T.C.A. § 49-17-104(b), the Energy Efficient Schools Council (“Council”) may promulgate rules and regulations necessary for operation.</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r w:rsidRPr="006C08AA">
        <w:rPr>
          <w:rFonts w:ascii="Arial" w:hAnsi="Arial" w:cs="Arial"/>
          <w:bCs/>
          <w:i/>
          <w:iCs/>
          <w:sz w:val="20"/>
          <w:szCs w:val="20"/>
        </w:rPr>
        <w:t>Authority</w:t>
      </w:r>
      <w:r w:rsidRPr="006C08AA">
        <w:rPr>
          <w:rFonts w:ascii="Arial" w:hAnsi="Arial" w:cs="Arial"/>
          <w:i/>
          <w:iCs/>
          <w:sz w:val="20"/>
          <w:szCs w:val="20"/>
        </w:rPr>
        <w:t xml:space="preserve">: T.C.A. § 49-17-104(b). </w:t>
      </w: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w:t>
      </w:r>
      <w:r w:rsidR="00CA5138" w:rsidRPr="006C08AA">
        <w:rPr>
          <w:rFonts w:ascii="Arial" w:hAnsi="Arial" w:cs="Arial"/>
          <w:bCs/>
          <w:sz w:val="20"/>
          <w:szCs w:val="20"/>
        </w:rPr>
        <w:t>0</w:t>
      </w:r>
      <w:r w:rsidRPr="006C08AA">
        <w:rPr>
          <w:rFonts w:ascii="Arial" w:hAnsi="Arial" w:cs="Arial"/>
          <w:bCs/>
          <w:sz w:val="20"/>
          <w:szCs w:val="20"/>
        </w:rPr>
        <w:t>1-.02 PURPOSE AND SCOPE</w:t>
      </w:r>
      <w:r w:rsidRPr="006C08AA">
        <w:rPr>
          <w:rFonts w:ascii="Arial" w:hAnsi="Arial" w:cs="Arial"/>
          <w:sz w:val="20"/>
          <w:szCs w:val="20"/>
        </w:rPr>
        <w:t>. The Energy Efficient Schools Council may award loans to school systems for qualifying capital outlay projects.</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r w:rsidRPr="006C08AA">
        <w:rPr>
          <w:rFonts w:ascii="Arial" w:hAnsi="Arial" w:cs="Arial"/>
          <w:bCs/>
          <w:i/>
          <w:iCs/>
          <w:sz w:val="20"/>
          <w:szCs w:val="20"/>
        </w:rPr>
        <w:t>Authority</w:t>
      </w:r>
      <w:r w:rsidRPr="006C08AA">
        <w:rPr>
          <w:rFonts w:ascii="Arial" w:hAnsi="Arial" w:cs="Arial"/>
          <w:i/>
          <w:iCs/>
          <w:sz w:val="20"/>
          <w:szCs w:val="20"/>
        </w:rPr>
        <w:t xml:space="preserve">: T.C.A. § 49-17-104(a). </w:t>
      </w: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w:t>
      </w:r>
      <w:r w:rsidR="00CA5138" w:rsidRPr="006C08AA">
        <w:rPr>
          <w:rFonts w:ascii="Arial" w:hAnsi="Arial" w:cs="Arial"/>
          <w:bCs/>
          <w:sz w:val="20"/>
          <w:szCs w:val="20"/>
        </w:rPr>
        <w:t>0</w:t>
      </w:r>
      <w:r w:rsidRPr="006C08AA">
        <w:rPr>
          <w:rFonts w:ascii="Arial" w:hAnsi="Arial" w:cs="Arial"/>
          <w:bCs/>
          <w:sz w:val="20"/>
          <w:szCs w:val="20"/>
        </w:rPr>
        <w:t>1-.03 DEFINITIONS</w:t>
      </w:r>
      <w:r w:rsidRPr="006C08AA">
        <w:rPr>
          <w:rFonts w:ascii="Arial" w:hAnsi="Arial" w:cs="Arial"/>
          <w:sz w:val="20"/>
          <w:szCs w:val="20"/>
        </w:rPr>
        <w:t>. The following definitions shall apply to these rules:</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pStyle w:val="ListParagraph"/>
        <w:numPr>
          <w:ilvl w:val="0"/>
          <w:numId w:val="1"/>
        </w:numPr>
        <w:autoSpaceDE w:val="0"/>
        <w:autoSpaceDN w:val="0"/>
        <w:adjustRightInd w:val="0"/>
        <w:spacing w:after="20" w:line="21" w:lineRule="atLeast"/>
        <w:ind w:left="504" w:right="144"/>
        <w:jc w:val="both"/>
        <w:rPr>
          <w:rFonts w:ascii="Arial" w:hAnsi="Arial" w:cs="Arial"/>
          <w:sz w:val="20"/>
          <w:szCs w:val="20"/>
        </w:rPr>
      </w:pPr>
      <w:r w:rsidRPr="006C08AA">
        <w:rPr>
          <w:rFonts w:ascii="Arial" w:hAnsi="Arial" w:cs="Arial"/>
          <w:sz w:val="20"/>
          <w:szCs w:val="20"/>
        </w:rPr>
        <w:t>Applicant – Any Tennessee public K-12 school district.</w:t>
      </w:r>
    </w:p>
    <w:p w:rsidR="00DE6E89" w:rsidRPr="006C08AA" w:rsidRDefault="00DE6E89" w:rsidP="00DE6E89">
      <w:pPr>
        <w:pStyle w:val="ListParagraph"/>
        <w:autoSpaceDE w:val="0"/>
        <w:autoSpaceDN w:val="0"/>
        <w:adjustRightInd w:val="0"/>
        <w:spacing w:after="20" w:line="21" w:lineRule="atLeast"/>
        <w:ind w:left="504" w:right="144"/>
        <w:jc w:val="both"/>
        <w:rPr>
          <w:rFonts w:ascii="Arial" w:hAnsi="Arial" w:cs="Arial"/>
          <w:sz w:val="20"/>
          <w:szCs w:val="20"/>
        </w:rPr>
      </w:pPr>
    </w:p>
    <w:p w:rsidR="00DE6E89" w:rsidRPr="006C08AA" w:rsidRDefault="00DE6E89" w:rsidP="00DE6E89">
      <w:pPr>
        <w:pStyle w:val="ListParagraph"/>
        <w:numPr>
          <w:ilvl w:val="0"/>
          <w:numId w:val="1"/>
        </w:numPr>
        <w:autoSpaceDE w:val="0"/>
        <w:autoSpaceDN w:val="0"/>
        <w:adjustRightInd w:val="0"/>
        <w:spacing w:after="20" w:line="21" w:lineRule="atLeast"/>
        <w:ind w:left="504" w:right="144"/>
        <w:jc w:val="both"/>
        <w:rPr>
          <w:rFonts w:ascii="Arial" w:hAnsi="Arial" w:cs="Arial"/>
          <w:sz w:val="20"/>
          <w:szCs w:val="20"/>
        </w:rPr>
      </w:pPr>
      <w:r w:rsidRPr="006C08AA">
        <w:rPr>
          <w:rFonts w:ascii="Arial" w:hAnsi="Arial" w:cs="Arial"/>
          <w:sz w:val="20"/>
          <w:szCs w:val="20"/>
        </w:rPr>
        <w:t>Energy Efficient Schools Council (“Council”) – A twelve (12) member body that includes the commissioners of education, environment and conservation, and economic and community development or their designees; three (3) members appointed by the Governor; three (3) members appointed by the speaker of the senate; and, three (3) members appointed by the house of representatives pursuant to the provisions of T.C.A. § 49-17-103.</w:t>
      </w:r>
    </w:p>
    <w:p w:rsidR="00DE6E89" w:rsidRPr="006C08AA" w:rsidRDefault="00DE6E89" w:rsidP="00DE6E89">
      <w:pPr>
        <w:pStyle w:val="ListParagraph"/>
        <w:spacing w:after="20" w:line="21" w:lineRule="atLeast"/>
        <w:ind w:left="144"/>
        <w:jc w:val="both"/>
        <w:rPr>
          <w:rFonts w:ascii="Arial" w:hAnsi="Arial" w:cs="Arial"/>
          <w:sz w:val="20"/>
          <w:szCs w:val="20"/>
        </w:rPr>
      </w:pPr>
    </w:p>
    <w:p w:rsidR="00DE6E89" w:rsidRPr="006C08AA" w:rsidRDefault="00DE6E89" w:rsidP="00DE6E89">
      <w:pPr>
        <w:pStyle w:val="ListParagraph"/>
        <w:numPr>
          <w:ilvl w:val="0"/>
          <w:numId w:val="1"/>
        </w:numPr>
        <w:autoSpaceDE w:val="0"/>
        <w:autoSpaceDN w:val="0"/>
        <w:adjustRightInd w:val="0"/>
        <w:spacing w:after="20" w:line="21" w:lineRule="atLeast"/>
        <w:ind w:left="504" w:right="144"/>
        <w:jc w:val="both"/>
        <w:rPr>
          <w:rFonts w:ascii="Arial" w:hAnsi="Arial" w:cs="Arial"/>
          <w:sz w:val="20"/>
          <w:szCs w:val="20"/>
        </w:rPr>
      </w:pPr>
      <w:r w:rsidRPr="006C08AA">
        <w:rPr>
          <w:rFonts w:ascii="Arial" w:hAnsi="Arial" w:cs="Arial"/>
          <w:sz w:val="20"/>
          <w:szCs w:val="20"/>
        </w:rPr>
        <w:t>Technical Advisory Committee (“TAC”) - A seven (7) member body that includes two Ex-Officio members representing Oak Ridge National Laboratory and Tennessee Valley Authority, and  five (5) engineers and architects chosen by the Council pursuant to the provisions of T.C.A. § 49-17-103.</w:t>
      </w:r>
    </w:p>
    <w:p w:rsidR="00DE6E89" w:rsidRPr="006C08AA" w:rsidRDefault="00DE6E89" w:rsidP="00DE6E89">
      <w:pPr>
        <w:pStyle w:val="ListParagraph"/>
        <w:autoSpaceDE w:val="0"/>
        <w:autoSpaceDN w:val="0"/>
        <w:adjustRightInd w:val="0"/>
        <w:spacing w:after="20" w:line="21" w:lineRule="atLeast"/>
        <w:ind w:left="504" w:right="144"/>
        <w:jc w:val="both"/>
        <w:rPr>
          <w:rFonts w:ascii="Arial" w:hAnsi="Arial" w:cs="Arial"/>
          <w:sz w:val="20"/>
          <w:szCs w:val="20"/>
        </w:rPr>
      </w:pPr>
    </w:p>
    <w:p w:rsidR="00DE6E89" w:rsidRPr="006C08AA" w:rsidRDefault="00DE6E89" w:rsidP="00DE6E89">
      <w:pPr>
        <w:pStyle w:val="ListParagraph"/>
        <w:numPr>
          <w:ilvl w:val="0"/>
          <w:numId w:val="1"/>
        </w:numPr>
        <w:autoSpaceDE w:val="0"/>
        <w:autoSpaceDN w:val="0"/>
        <w:adjustRightInd w:val="0"/>
        <w:spacing w:after="20" w:line="21" w:lineRule="atLeast"/>
        <w:ind w:left="504" w:right="144"/>
        <w:jc w:val="both"/>
        <w:rPr>
          <w:rFonts w:ascii="Arial" w:hAnsi="Arial" w:cs="Arial"/>
          <w:sz w:val="20"/>
          <w:szCs w:val="20"/>
        </w:rPr>
      </w:pPr>
      <w:r w:rsidRPr="006C08AA">
        <w:rPr>
          <w:rFonts w:ascii="Arial" w:hAnsi="Arial" w:cs="Arial"/>
          <w:sz w:val="20"/>
          <w:szCs w:val="20"/>
        </w:rPr>
        <w:t>Payback Period – The time within which the cost savings realized by incorporating energy efficient technologies equals the initial cost of the technology employed.</w:t>
      </w:r>
    </w:p>
    <w:p w:rsidR="00DE6E89" w:rsidRPr="006C08AA" w:rsidRDefault="00DE6E89" w:rsidP="00DE6E89">
      <w:pPr>
        <w:pStyle w:val="ListParagraph"/>
        <w:autoSpaceDE w:val="0"/>
        <w:autoSpaceDN w:val="0"/>
        <w:adjustRightInd w:val="0"/>
        <w:spacing w:after="20" w:line="21" w:lineRule="atLeast"/>
        <w:ind w:left="504" w:right="144"/>
        <w:jc w:val="both"/>
        <w:rPr>
          <w:rFonts w:ascii="Arial" w:hAnsi="Arial" w:cs="Arial"/>
          <w:sz w:val="20"/>
          <w:szCs w:val="20"/>
        </w:rPr>
      </w:pPr>
    </w:p>
    <w:p w:rsidR="00DE6E89" w:rsidRPr="006C08AA" w:rsidRDefault="00DE6E89" w:rsidP="00DE6E89">
      <w:pPr>
        <w:pStyle w:val="ListParagraph"/>
        <w:numPr>
          <w:ilvl w:val="0"/>
          <w:numId w:val="1"/>
        </w:numPr>
        <w:autoSpaceDE w:val="0"/>
        <w:autoSpaceDN w:val="0"/>
        <w:adjustRightInd w:val="0"/>
        <w:spacing w:after="20" w:line="21" w:lineRule="atLeast"/>
        <w:ind w:left="504" w:right="144"/>
        <w:jc w:val="both"/>
        <w:rPr>
          <w:rFonts w:ascii="Arial" w:hAnsi="Arial" w:cs="Arial"/>
          <w:sz w:val="20"/>
          <w:szCs w:val="20"/>
        </w:rPr>
      </w:pPr>
      <w:r w:rsidRPr="006C08AA">
        <w:rPr>
          <w:rFonts w:ascii="Arial" w:hAnsi="Arial" w:cs="Arial"/>
          <w:sz w:val="20"/>
          <w:szCs w:val="20"/>
        </w:rPr>
        <w:t>Prescriptive Measures – Energy efficient technologies that the Council has determined through a cost-benefit analysis have a reasonable payback period.</w:t>
      </w:r>
    </w:p>
    <w:p w:rsidR="00DE6E89" w:rsidRPr="006C08AA" w:rsidRDefault="00DE6E89" w:rsidP="00DE6E89">
      <w:pPr>
        <w:pStyle w:val="ListParagraph"/>
        <w:autoSpaceDE w:val="0"/>
        <w:autoSpaceDN w:val="0"/>
        <w:adjustRightInd w:val="0"/>
        <w:spacing w:after="20" w:line="21" w:lineRule="atLeast"/>
        <w:ind w:left="504" w:right="144"/>
        <w:jc w:val="both"/>
        <w:rPr>
          <w:rFonts w:ascii="Arial" w:hAnsi="Arial" w:cs="Arial"/>
          <w:sz w:val="20"/>
          <w:szCs w:val="20"/>
        </w:rPr>
      </w:pPr>
    </w:p>
    <w:p w:rsidR="00DE6E89" w:rsidRPr="006C08AA" w:rsidRDefault="00DE6E89" w:rsidP="00DE6E89">
      <w:pPr>
        <w:pStyle w:val="ListParagraph"/>
        <w:numPr>
          <w:ilvl w:val="0"/>
          <w:numId w:val="1"/>
        </w:numPr>
        <w:autoSpaceDE w:val="0"/>
        <w:autoSpaceDN w:val="0"/>
        <w:adjustRightInd w:val="0"/>
        <w:spacing w:after="20" w:line="21" w:lineRule="atLeast"/>
        <w:ind w:left="504" w:right="144"/>
        <w:jc w:val="both"/>
        <w:rPr>
          <w:rFonts w:ascii="Arial" w:hAnsi="Arial" w:cs="Arial"/>
          <w:sz w:val="20"/>
          <w:szCs w:val="20"/>
        </w:rPr>
      </w:pPr>
      <w:r w:rsidRPr="006C08AA">
        <w:rPr>
          <w:rFonts w:ascii="Arial" w:hAnsi="Arial" w:cs="Arial"/>
          <w:sz w:val="20"/>
          <w:szCs w:val="20"/>
        </w:rPr>
        <w:t>Qualifying Capital Outlay Project - Any project for new or existing kindergarten through grade twelve (K-12) education facilities that satisfy the Council guidelines for improving energy efficiency.</w:t>
      </w:r>
    </w:p>
    <w:p w:rsidR="00DE6E89" w:rsidRPr="006C08AA" w:rsidRDefault="00DE6E89" w:rsidP="00DE6E89">
      <w:pPr>
        <w:pStyle w:val="ListParagraph"/>
        <w:rPr>
          <w:rFonts w:ascii="Arial" w:hAnsi="Arial" w:cs="Arial"/>
          <w:sz w:val="20"/>
          <w:szCs w:val="20"/>
        </w:rPr>
      </w:pPr>
    </w:p>
    <w:p w:rsidR="00DE6E89" w:rsidRPr="006C08AA" w:rsidRDefault="00DE6E89" w:rsidP="00DE6E89">
      <w:pPr>
        <w:pStyle w:val="ListParagraph"/>
        <w:autoSpaceDE w:val="0"/>
        <w:autoSpaceDN w:val="0"/>
        <w:adjustRightInd w:val="0"/>
        <w:spacing w:after="20" w:line="21" w:lineRule="atLeast"/>
        <w:ind w:left="1080"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i/>
          <w:iCs/>
          <w:sz w:val="20"/>
          <w:szCs w:val="20"/>
        </w:rPr>
        <w:t>Authority</w:t>
      </w:r>
      <w:r w:rsidRPr="006C08AA">
        <w:rPr>
          <w:rFonts w:ascii="Arial" w:hAnsi="Arial" w:cs="Arial"/>
          <w:i/>
          <w:iCs/>
          <w:sz w:val="20"/>
          <w:szCs w:val="20"/>
        </w:rPr>
        <w:t>: T.C.A. § 49-17-102, T.C.A. § 49-17-103, and T.C.A. § 49-17-104.</w:t>
      </w:r>
    </w:p>
    <w:p w:rsidR="00DE6E89" w:rsidRPr="006C08AA" w:rsidRDefault="00DE6E89" w:rsidP="00DE6E89">
      <w:pPr>
        <w:autoSpaceDE w:val="0"/>
        <w:autoSpaceDN w:val="0"/>
        <w:adjustRightInd w:val="0"/>
        <w:spacing w:after="20" w:line="21" w:lineRule="atLeast"/>
        <w:ind w:left="144" w:right="144"/>
        <w:jc w:val="both"/>
        <w:rPr>
          <w:rFonts w:ascii="Arial" w:hAnsi="Arial" w:cs="Arial"/>
          <w:bCs/>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w:t>
      </w:r>
      <w:r w:rsidR="00CA5138" w:rsidRPr="006C08AA">
        <w:rPr>
          <w:rFonts w:ascii="Arial" w:hAnsi="Arial" w:cs="Arial"/>
          <w:bCs/>
          <w:sz w:val="20"/>
          <w:szCs w:val="20"/>
        </w:rPr>
        <w:t>0</w:t>
      </w:r>
      <w:r w:rsidRPr="006C08AA">
        <w:rPr>
          <w:rFonts w:ascii="Arial" w:hAnsi="Arial" w:cs="Arial"/>
          <w:bCs/>
          <w:sz w:val="20"/>
          <w:szCs w:val="20"/>
        </w:rPr>
        <w:t>1-.04 ELIGIBLE PROJECTS</w:t>
      </w:r>
      <w:r w:rsidRPr="006C08AA">
        <w:rPr>
          <w:rFonts w:ascii="Arial" w:hAnsi="Arial" w:cs="Arial"/>
          <w:sz w:val="20"/>
          <w:szCs w:val="20"/>
        </w:rPr>
        <w:t>.  Eligibility is determined either by:</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numPr>
          <w:ilvl w:val="0"/>
          <w:numId w:val="4"/>
        </w:numPr>
        <w:autoSpaceDE w:val="0"/>
        <w:autoSpaceDN w:val="0"/>
        <w:adjustRightInd w:val="0"/>
        <w:spacing w:after="20" w:line="21" w:lineRule="atLeast"/>
        <w:ind w:left="504" w:right="144"/>
        <w:jc w:val="both"/>
        <w:rPr>
          <w:rFonts w:ascii="Arial" w:hAnsi="Arial" w:cs="Arial"/>
          <w:sz w:val="20"/>
          <w:szCs w:val="20"/>
        </w:rPr>
      </w:pPr>
      <w:r w:rsidRPr="006C08AA">
        <w:rPr>
          <w:rFonts w:ascii="Arial" w:hAnsi="Arial" w:cs="Arial"/>
          <w:sz w:val="20"/>
          <w:szCs w:val="20"/>
        </w:rPr>
        <w:t xml:space="preserve">Prescriptive measures approved by the Council; or, </w:t>
      </w:r>
    </w:p>
    <w:p w:rsidR="00DE6E89" w:rsidRPr="006C08AA" w:rsidRDefault="00DE6E89" w:rsidP="00DE6E89">
      <w:pPr>
        <w:autoSpaceDE w:val="0"/>
        <w:autoSpaceDN w:val="0"/>
        <w:adjustRightInd w:val="0"/>
        <w:spacing w:after="20" w:line="21" w:lineRule="atLeast"/>
        <w:ind w:left="504" w:right="144"/>
        <w:jc w:val="both"/>
        <w:rPr>
          <w:rFonts w:ascii="Arial" w:hAnsi="Arial" w:cs="Arial"/>
          <w:sz w:val="20"/>
          <w:szCs w:val="20"/>
        </w:rPr>
      </w:pPr>
    </w:p>
    <w:p w:rsidR="00DE6E89" w:rsidRPr="006C08AA" w:rsidRDefault="00DE6E89" w:rsidP="00DE6E89">
      <w:pPr>
        <w:numPr>
          <w:ilvl w:val="0"/>
          <w:numId w:val="4"/>
        </w:numPr>
        <w:autoSpaceDE w:val="0"/>
        <w:autoSpaceDN w:val="0"/>
        <w:adjustRightInd w:val="0"/>
        <w:spacing w:after="20" w:line="21" w:lineRule="atLeast"/>
        <w:ind w:left="504" w:right="144"/>
        <w:jc w:val="both"/>
        <w:rPr>
          <w:rFonts w:ascii="Arial" w:hAnsi="Arial" w:cs="Arial"/>
          <w:sz w:val="20"/>
          <w:szCs w:val="20"/>
        </w:rPr>
      </w:pPr>
      <w:r w:rsidRPr="006C08AA">
        <w:rPr>
          <w:rFonts w:ascii="Arial" w:hAnsi="Arial" w:cs="Arial"/>
          <w:sz w:val="20"/>
          <w:szCs w:val="20"/>
        </w:rPr>
        <w:lastRenderedPageBreak/>
        <w:t xml:space="preserve">Custom projects that contain a cost-benefit analysis that shows incorporating energy efficient technologies provides a reasonable payback period and that may also contain  warranted pre-determined energy use objectives.  </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sz w:val="20"/>
          <w:szCs w:val="20"/>
        </w:rPr>
        <w:t>Custom projects must be reviewed by the TAC and recommended to the Council for approval. Projects may be considered ineligible when the energy efficiency measures have been purchased, or partially or completely installed prior to formal Energy Efficient Schools Initiative (“EESI”) approval.  Eligibility determinations may be appealed to the Council by submitting a written request to the EESI Executive Director for consideration by an appeals committee appointed by the Council President.</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r w:rsidRPr="006C08AA">
        <w:rPr>
          <w:rFonts w:ascii="Arial" w:hAnsi="Arial" w:cs="Arial"/>
          <w:bCs/>
          <w:i/>
          <w:iCs/>
          <w:sz w:val="20"/>
          <w:szCs w:val="20"/>
        </w:rPr>
        <w:t>Authority</w:t>
      </w:r>
      <w:r w:rsidRPr="006C08AA">
        <w:rPr>
          <w:rFonts w:ascii="Arial" w:hAnsi="Arial" w:cs="Arial"/>
          <w:i/>
          <w:iCs/>
          <w:sz w:val="20"/>
          <w:szCs w:val="20"/>
        </w:rPr>
        <w:t>: T.C.A. § 49-17-103 and T.C.A. § 49-17-104.</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w:t>
      </w:r>
      <w:r w:rsidR="00CA5138" w:rsidRPr="006C08AA">
        <w:rPr>
          <w:rFonts w:ascii="Arial" w:hAnsi="Arial" w:cs="Arial"/>
          <w:bCs/>
          <w:sz w:val="20"/>
          <w:szCs w:val="20"/>
        </w:rPr>
        <w:t>0</w:t>
      </w:r>
      <w:r w:rsidRPr="006C08AA">
        <w:rPr>
          <w:rFonts w:ascii="Arial" w:hAnsi="Arial" w:cs="Arial"/>
          <w:bCs/>
          <w:sz w:val="20"/>
          <w:szCs w:val="20"/>
        </w:rPr>
        <w:t>1-.05 LOAN APPLICATION</w:t>
      </w:r>
      <w:r w:rsidRPr="006C08AA">
        <w:rPr>
          <w:rFonts w:ascii="Arial" w:hAnsi="Arial" w:cs="Arial"/>
          <w:sz w:val="20"/>
          <w:szCs w:val="20"/>
        </w:rPr>
        <w:t>. Applicants must submit a completed and signed loan application to EESI in order to qualify for consideration for loan funds. The loan application and loan agreement must be signed by the School District Director; School Board Chair; and, if the applicant is not a special school district, the jurisdictional County or City Mayor.  Loan applications will be approved according to written policies established by the Council.</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r w:rsidRPr="006C08AA">
        <w:rPr>
          <w:rFonts w:ascii="Arial" w:hAnsi="Arial" w:cs="Arial"/>
          <w:bCs/>
          <w:i/>
          <w:iCs/>
          <w:sz w:val="20"/>
          <w:szCs w:val="20"/>
        </w:rPr>
        <w:t>Authority</w:t>
      </w:r>
      <w:r w:rsidRPr="006C08AA">
        <w:rPr>
          <w:rFonts w:ascii="Arial" w:hAnsi="Arial" w:cs="Arial"/>
          <w:i/>
          <w:iCs/>
          <w:sz w:val="20"/>
          <w:szCs w:val="20"/>
        </w:rPr>
        <w:t>: T.C.A. § 49-17-104.</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w:t>
      </w:r>
      <w:r w:rsidR="00CA5138" w:rsidRPr="006C08AA">
        <w:rPr>
          <w:rFonts w:ascii="Arial" w:hAnsi="Arial" w:cs="Arial"/>
          <w:bCs/>
          <w:sz w:val="20"/>
          <w:szCs w:val="20"/>
        </w:rPr>
        <w:t>0</w:t>
      </w:r>
      <w:r w:rsidRPr="006C08AA">
        <w:rPr>
          <w:rFonts w:ascii="Arial" w:hAnsi="Arial" w:cs="Arial"/>
          <w:bCs/>
          <w:sz w:val="20"/>
          <w:szCs w:val="20"/>
        </w:rPr>
        <w:t>1-.06 LOAN TERMS</w:t>
      </w:r>
      <w:r w:rsidRPr="006C08AA">
        <w:rPr>
          <w:rFonts w:ascii="Arial" w:hAnsi="Arial" w:cs="Arial"/>
          <w:sz w:val="20"/>
          <w:szCs w:val="20"/>
        </w:rPr>
        <w:t>. The repayment period and interest rate is established for each loan approved by the Council based upon written Council policy. The application must include a cost-benefit analysis which demonstrates that the annual energy savings are sufficient to retire the loan within the term requested.</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r w:rsidRPr="006C08AA">
        <w:rPr>
          <w:rFonts w:ascii="Arial" w:hAnsi="Arial" w:cs="Arial"/>
          <w:bCs/>
          <w:i/>
          <w:iCs/>
          <w:sz w:val="20"/>
          <w:szCs w:val="20"/>
        </w:rPr>
        <w:t>Authority</w:t>
      </w:r>
      <w:r w:rsidRPr="006C08AA">
        <w:rPr>
          <w:rFonts w:ascii="Arial" w:hAnsi="Arial" w:cs="Arial"/>
          <w:i/>
          <w:iCs/>
          <w:sz w:val="20"/>
          <w:szCs w:val="20"/>
        </w:rPr>
        <w:t>: T.C.A. § 49-17-104.</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w:t>
      </w:r>
      <w:r w:rsidR="00CA5138" w:rsidRPr="006C08AA">
        <w:rPr>
          <w:rFonts w:ascii="Arial" w:hAnsi="Arial" w:cs="Arial"/>
          <w:bCs/>
          <w:sz w:val="20"/>
          <w:szCs w:val="20"/>
        </w:rPr>
        <w:t>0</w:t>
      </w:r>
      <w:r w:rsidRPr="006C08AA">
        <w:rPr>
          <w:rFonts w:ascii="Arial" w:hAnsi="Arial" w:cs="Arial"/>
          <w:bCs/>
          <w:sz w:val="20"/>
          <w:szCs w:val="20"/>
        </w:rPr>
        <w:t>1-.07 PROJECT IMPLEMENTATION</w:t>
      </w:r>
      <w:r w:rsidRPr="006C08AA">
        <w:rPr>
          <w:rFonts w:ascii="Arial" w:hAnsi="Arial" w:cs="Arial"/>
          <w:sz w:val="20"/>
          <w:szCs w:val="20"/>
        </w:rPr>
        <w:t>. Approved applicants must complete their project within twelve (12) months of loan approval.</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r w:rsidRPr="006C08AA">
        <w:rPr>
          <w:rFonts w:ascii="Arial" w:hAnsi="Arial" w:cs="Arial"/>
          <w:bCs/>
          <w:i/>
          <w:iCs/>
          <w:sz w:val="20"/>
          <w:szCs w:val="20"/>
        </w:rPr>
        <w:t>Authority</w:t>
      </w:r>
      <w:r w:rsidRPr="006C08AA">
        <w:rPr>
          <w:rFonts w:ascii="Arial" w:hAnsi="Arial" w:cs="Arial"/>
          <w:i/>
          <w:iCs/>
          <w:sz w:val="20"/>
          <w:szCs w:val="20"/>
        </w:rPr>
        <w:t>: T.C.A. § 49-17-104.</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w:t>
      </w:r>
      <w:r w:rsidR="00CA5138" w:rsidRPr="006C08AA">
        <w:rPr>
          <w:rFonts w:ascii="Arial" w:hAnsi="Arial" w:cs="Arial"/>
          <w:bCs/>
          <w:sz w:val="20"/>
          <w:szCs w:val="20"/>
        </w:rPr>
        <w:t>01</w:t>
      </w:r>
      <w:r w:rsidRPr="006C08AA">
        <w:rPr>
          <w:rFonts w:ascii="Arial" w:hAnsi="Arial" w:cs="Arial"/>
          <w:bCs/>
          <w:sz w:val="20"/>
          <w:szCs w:val="20"/>
        </w:rPr>
        <w:t>-.08 LOAN REPAYMENT</w:t>
      </w:r>
      <w:r w:rsidRPr="006C08AA">
        <w:rPr>
          <w:rFonts w:ascii="Arial" w:hAnsi="Arial" w:cs="Arial"/>
          <w:sz w:val="20"/>
          <w:szCs w:val="20"/>
        </w:rPr>
        <w:t>. The recipient will make monthly payments in accordance with a repayment schedule provided by EESI.  A participating school district may repay the loan at any time without prepayment penalty.</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r w:rsidRPr="006C08AA">
        <w:rPr>
          <w:rFonts w:ascii="Arial" w:hAnsi="Arial" w:cs="Arial"/>
          <w:bCs/>
          <w:i/>
          <w:iCs/>
          <w:sz w:val="20"/>
          <w:szCs w:val="20"/>
        </w:rPr>
        <w:t>Authority</w:t>
      </w:r>
      <w:r w:rsidRPr="006C08AA">
        <w:rPr>
          <w:rFonts w:ascii="Arial" w:hAnsi="Arial" w:cs="Arial"/>
          <w:i/>
          <w:iCs/>
          <w:sz w:val="20"/>
          <w:szCs w:val="20"/>
        </w:rPr>
        <w:t>: T.C.A. § 49-17-104.</w:t>
      </w: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sz w:val="20"/>
          <w:szCs w:val="20"/>
        </w:rPr>
      </w:pPr>
      <w:r w:rsidRPr="006C08AA">
        <w:rPr>
          <w:rFonts w:ascii="Arial" w:hAnsi="Arial" w:cs="Arial"/>
          <w:bCs/>
          <w:sz w:val="20"/>
          <w:szCs w:val="20"/>
        </w:rPr>
        <w:t>0520-13-</w:t>
      </w:r>
      <w:r w:rsidR="00CA5138" w:rsidRPr="006C08AA">
        <w:rPr>
          <w:rFonts w:ascii="Arial" w:hAnsi="Arial" w:cs="Arial"/>
          <w:bCs/>
          <w:sz w:val="20"/>
          <w:szCs w:val="20"/>
        </w:rPr>
        <w:t>0</w:t>
      </w:r>
      <w:r w:rsidRPr="006C08AA">
        <w:rPr>
          <w:rFonts w:ascii="Arial" w:hAnsi="Arial" w:cs="Arial"/>
          <w:bCs/>
          <w:sz w:val="20"/>
          <w:szCs w:val="20"/>
        </w:rPr>
        <w:t>1-.09 REPORTING REQUIREMENTS</w:t>
      </w:r>
      <w:r w:rsidRPr="006C08AA">
        <w:rPr>
          <w:rFonts w:ascii="Arial" w:hAnsi="Arial" w:cs="Arial"/>
          <w:sz w:val="20"/>
          <w:szCs w:val="20"/>
        </w:rPr>
        <w:t>. Loan recipients will provide monthly progress reports to EESI during the construction phase of the project. All projects must be professionally commissioned and a commissioning report submitted to EESI. Loan recipients must enter baseline utility consumption and cost data in Energy Star Portfolio Manager for each facility for the year prior to project implementation, and shall update that data each month during the payback period. EESI shall be given access to reports on such data upon request. If loan projects are undertaken under a performance contract, the loan recipient shall require the contractor to provide annual measurement and verification reports.</w:t>
      </w:r>
    </w:p>
    <w:p w:rsidR="00DE6E89" w:rsidRPr="006C08AA" w:rsidRDefault="00DE6E89" w:rsidP="00DE6E89">
      <w:pPr>
        <w:pStyle w:val="Default"/>
        <w:jc w:val="both"/>
        <w:rPr>
          <w:rFonts w:ascii="Arial" w:hAnsi="Arial" w:cs="Arial"/>
          <w:color w:val="auto"/>
          <w:sz w:val="20"/>
          <w:szCs w:val="20"/>
        </w:rPr>
      </w:pPr>
    </w:p>
    <w:p w:rsidR="00DE6E89" w:rsidRPr="006C08AA" w:rsidRDefault="00DE6E89" w:rsidP="00DE6E89">
      <w:pPr>
        <w:autoSpaceDE w:val="0"/>
        <w:autoSpaceDN w:val="0"/>
        <w:adjustRightInd w:val="0"/>
        <w:spacing w:after="20" w:line="21" w:lineRule="atLeast"/>
        <w:ind w:left="144" w:right="144"/>
        <w:jc w:val="both"/>
        <w:rPr>
          <w:rFonts w:ascii="Arial" w:hAnsi="Arial" w:cs="Arial"/>
          <w:i/>
          <w:iCs/>
          <w:sz w:val="20"/>
          <w:szCs w:val="20"/>
        </w:rPr>
      </w:pPr>
      <w:r w:rsidRPr="006C08AA">
        <w:rPr>
          <w:rFonts w:ascii="Arial" w:hAnsi="Arial" w:cs="Arial"/>
          <w:bCs/>
          <w:i/>
          <w:iCs/>
          <w:sz w:val="20"/>
          <w:szCs w:val="20"/>
        </w:rPr>
        <w:t>Authority</w:t>
      </w:r>
      <w:r w:rsidRPr="006C08AA">
        <w:rPr>
          <w:rFonts w:ascii="Arial" w:hAnsi="Arial" w:cs="Arial"/>
          <w:i/>
          <w:iCs/>
          <w:sz w:val="20"/>
          <w:szCs w:val="20"/>
        </w:rPr>
        <w:t>: T.C.A. § 49-17-104.</w:t>
      </w:r>
    </w:p>
    <w:p w:rsidR="00B767D2" w:rsidRDefault="00B767D2" w:rsidP="00DE6E89"/>
    <w:p w:rsidR="006C08AA" w:rsidRDefault="006C08AA">
      <w:r>
        <w:t xml:space="preserve">_________________________________________ </w:t>
      </w:r>
      <w:r>
        <w:tab/>
      </w:r>
      <w:r>
        <w:tab/>
        <w:t xml:space="preserve"> ______________________________</w:t>
      </w:r>
    </w:p>
    <w:p w:rsidR="006C08AA" w:rsidRPr="006C08AA" w:rsidRDefault="006C08AA" w:rsidP="00DE6E89">
      <w:r>
        <w:t>Signature</w:t>
      </w:r>
      <w:r>
        <w:tab/>
      </w:r>
      <w:r>
        <w:tab/>
      </w:r>
      <w:r>
        <w:tab/>
      </w:r>
      <w:r>
        <w:tab/>
      </w:r>
      <w:r>
        <w:tab/>
      </w:r>
      <w:r>
        <w:tab/>
      </w:r>
      <w:r>
        <w:tab/>
        <w:t>Date</w:t>
      </w:r>
    </w:p>
    <w:sectPr w:rsidR="006C08AA" w:rsidRPr="006C08AA" w:rsidSect="00462F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603AF"/>
    <w:multiLevelType w:val="hybridMultilevel"/>
    <w:tmpl w:val="D624AC3C"/>
    <w:lvl w:ilvl="0" w:tplc="E8B63982">
      <w:start w:val="1"/>
      <w:numFmt w:val="decimal"/>
      <w:lvlText w:val="(%1)"/>
      <w:lvlJc w:val="left"/>
      <w:pPr>
        <w:ind w:left="1080"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0A2B41"/>
    <w:multiLevelType w:val="hybridMultilevel"/>
    <w:tmpl w:val="1E9472FE"/>
    <w:lvl w:ilvl="0" w:tplc="0A80394E">
      <w:start w:val="1"/>
      <w:numFmt w:val="decimal"/>
      <w:lvlText w:val="(%1)"/>
      <w:lvlJc w:val="left"/>
      <w:pPr>
        <w:ind w:left="1080" w:hanging="360"/>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B09A5"/>
    <w:multiLevelType w:val="hybridMultilevel"/>
    <w:tmpl w:val="62D28EE0"/>
    <w:lvl w:ilvl="0" w:tplc="B8A2C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A95E16"/>
    <w:multiLevelType w:val="hybridMultilevel"/>
    <w:tmpl w:val="6BE825CC"/>
    <w:lvl w:ilvl="0" w:tplc="A1F604B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8D"/>
    <w:rsid w:val="0002006D"/>
    <w:rsid w:val="000263A7"/>
    <w:rsid w:val="00027D67"/>
    <w:rsid w:val="00046ED5"/>
    <w:rsid w:val="00075608"/>
    <w:rsid w:val="00083A1F"/>
    <w:rsid w:val="000B27E4"/>
    <w:rsid w:val="000E1C13"/>
    <w:rsid w:val="000F4E8A"/>
    <w:rsid w:val="00105BDB"/>
    <w:rsid w:val="00140FB1"/>
    <w:rsid w:val="00151245"/>
    <w:rsid w:val="00167A82"/>
    <w:rsid w:val="001801CE"/>
    <w:rsid w:val="001B03EC"/>
    <w:rsid w:val="001B3423"/>
    <w:rsid w:val="001C4BDE"/>
    <w:rsid w:val="001D1324"/>
    <w:rsid w:val="001F5F3E"/>
    <w:rsid w:val="00265E9A"/>
    <w:rsid w:val="002A0BB5"/>
    <w:rsid w:val="002A338E"/>
    <w:rsid w:val="002A3E00"/>
    <w:rsid w:val="002B3B4C"/>
    <w:rsid w:val="00303C38"/>
    <w:rsid w:val="0031499C"/>
    <w:rsid w:val="003320E4"/>
    <w:rsid w:val="0034708C"/>
    <w:rsid w:val="003503C0"/>
    <w:rsid w:val="0036074C"/>
    <w:rsid w:val="00385A6B"/>
    <w:rsid w:val="003A5593"/>
    <w:rsid w:val="003A5996"/>
    <w:rsid w:val="00454430"/>
    <w:rsid w:val="00462F2E"/>
    <w:rsid w:val="00472DA6"/>
    <w:rsid w:val="00474723"/>
    <w:rsid w:val="004A092A"/>
    <w:rsid w:val="004A2A71"/>
    <w:rsid w:val="004A5CD5"/>
    <w:rsid w:val="004D20BF"/>
    <w:rsid w:val="004D36EB"/>
    <w:rsid w:val="005106D0"/>
    <w:rsid w:val="005678FA"/>
    <w:rsid w:val="0057333B"/>
    <w:rsid w:val="00586D97"/>
    <w:rsid w:val="005F0540"/>
    <w:rsid w:val="005F3BE9"/>
    <w:rsid w:val="00667233"/>
    <w:rsid w:val="006777C6"/>
    <w:rsid w:val="00684C66"/>
    <w:rsid w:val="006A1A59"/>
    <w:rsid w:val="006C08AA"/>
    <w:rsid w:val="0072398D"/>
    <w:rsid w:val="00741554"/>
    <w:rsid w:val="00747F5D"/>
    <w:rsid w:val="007507D3"/>
    <w:rsid w:val="0075375C"/>
    <w:rsid w:val="007734F0"/>
    <w:rsid w:val="007B12A5"/>
    <w:rsid w:val="007B3D23"/>
    <w:rsid w:val="007B4FAA"/>
    <w:rsid w:val="007F2C58"/>
    <w:rsid w:val="00800E29"/>
    <w:rsid w:val="00806924"/>
    <w:rsid w:val="0081277F"/>
    <w:rsid w:val="00833045"/>
    <w:rsid w:val="0084022F"/>
    <w:rsid w:val="008B3485"/>
    <w:rsid w:val="008C0F88"/>
    <w:rsid w:val="00911AAF"/>
    <w:rsid w:val="0095223A"/>
    <w:rsid w:val="00957E87"/>
    <w:rsid w:val="00972F25"/>
    <w:rsid w:val="00976E54"/>
    <w:rsid w:val="009B2212"/>
    <w:rsid w:val="009B4AFE"/>
    <w:rsid w:val="009D576B"/>
    <w:rsid w:val="009E1242"/>
    <w:rsid w:val="009F58E2"/>
    <w:rsid w:val="00A21F3C"/>
    <w:rsid w:val="00A233C3"/>
    <w:rsid w:val="00A71C68"/>
    <w:rsid w:val="00A7430C"/>
    <w:rsid w:val="00B027F7"/>
    <w:rsid w:val="00B046CF"/>
    <w:rsid w:val="00B3408F"/>
    <w:rsid w:val="00B367EE"/>
    <w:rsid w:val="00B532A9"/>
    <w:rsid w:val="00B75995"/>
    <w:rsid w:val="00B767D2"/>
    <w:rsid w:val="00B801E0"/>
    <w:rsid w:val="00B8413C"/>
    <w:rsid w:val="00B84984"/>
    <w:rsid w:val="00BB7E73"/>
    <w:rsid w:val="00BE000D"/>
    <w:rsid w:val="00C14FA7"/>
    <w:rsid w:val="00C4160F"/>
    <w:rsid w:val="00C870DC"/>
    <w:rsid w:val="00C954B2"/>
    <w:rsid w:val="00CA5138"/>
    <w:rsid w:val="00CD2446"/>
    <w:rsid w:val="00D701DA"/>
    <w:rsid w:val="00D70EA5"/>
    <w:rsid w:val="00DE6E89"/>
    <w:rsid w:val="00ED5730"/>
    <w:rsid w:val="00F53AD2"/>
    <w:rsid w:val="00F75CA6"/>
    <w:rsid w:val="00FE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D725D0-2F42-47E2-95B5-6BC43F9E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3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70DC"/>
    <w:pPr>
      <w:ind w:left="720"/>
      <w:contextualSpacing/>
    </w:pPr>
  </w:style>
  <w:style w:type="paragraph" w:customStyle="1" w:styleId="Default">
    <w:name w:val="Default"/>
    <w:rsid w:val="00167A82"/>
    <w:pPr>
      <w:widowControl w:val="0"/>
      <w:autoSpaceDE w:val="0"/>
      <w:autoSpaceDN w:val="0"/>
      <w:adjustRightInd w:val="0"/>
    </w:pPr>
    <w:rPr>
      <w:rFonts w:ascii="Arial Black" w:eastAsia="Times New Roman"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RULES</vt:lpstr>
    </vt:vector>
  </TitlesOfParts>
  <Company>Department of Education</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CA18195</dc:creator>
  <cp:lastModifiedBy>Barbara Floyd</cp:lastModifiedBy>
  <cp:revision>2</cp:revision>
  <cp:lastPrinted>2010-01-19T16:57:00Z</cp:lastPrinted>
  <dcterms:created xsi:type="dcterms:W3CDTF">2018-02-20T16:10:00Z</dcterms:created>
  <dcterms:modified xsi:type="dcterms:W3CDTF">2018-02-20T16:10:00Z</dcterms:modified>
</cp:coreProperties>
</file>