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58570126"/>
        <w:docPartObj>
          <w:docPartGallery w:val="Cover Pages"/>
          <w:docPartUnique/>
        </w:docPartObj>
      </w:sdtPr>
      <w:sdtEndPr/>
      <w:sdtContent>
        <w:p w:rsidR="00151018" w:rsidRDefault="00151018">
          <w:r>
            <w:rPr>
              <w:noProof/>
            </w:rPr>
            <mc:AlternateContent>
              <mc:Choice Requires="wps">
                <w:drawing>
                  <wp:anchor distT="0" distB="0" distL="114300" distR="114300" simplePos="0" relativeHeight="251664384" behindDoc="0" locked="0" layoutInCell="1" allowOverlap="1" wp14:anchorId="4F12853E" wp14:editId="148E76D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563E3" w:rsidRDefault="00B563E3">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B563E3" w:rsidRDefault="00B563E3">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872BFDF" wp14:editId="2537A1B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563E3" w:rsidRDefault="00B563E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B563E3" w:rsidRDefault="00B563E3"/>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2437278" wp14:editId="508B5E0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63E3" w:rsidRDefault="00B563E3" w:rsidP="00357DAA">
                                <w:pPr>
                                  <w:spacing w:line="240" w:lineRule="auto"/>
                                  <w:jc w:val="center"/>
                                  <w:rPr>
                                    <w:color w:val="FFFFFF" w:themeColor="background1"/>
                                  </w:rPr>
                                </w:pPr>
                                <w:r>
                                  <w:rPr>
                                    <w:color w:val="FFFFFF" w:themeColor="background1"/>
                                  </w:rPr>
                                  <w:t xml:space="preserve">TENNESSEE </w:t>
                                </w:r>
                                <w:r w:rsidR="00357DAA">
                                  <w:rPr>
                                    <w:color w:val="FFFFFF" w:themeColor="background1"/>
                                  </w:rPr>
                                  <w:t>STATE GOVERNMENT</w:t>
                                </w:r>
                              </w:p>
                              <w:p w:rsidR="00B563E3" w:rsidRPr="00922F55" w:rsidRDefault="00B563E3">
                                <w:pPr>
                                  <w:spacing w:before="240"/>
                                  <w:jc w:val="center"/>
                                  <w:rPr>
                                    <w:i/>
                                    <w:color w:val="FFFFFF" w:themeColor="background1"/>
                                  </w:rPr>
                                </w:pPr>
                                <w:r>
                                  <w:rPr>
                                    <w:i/>
                                    <w:color w:val="FFFFFF" w:themeColor="background1"/>
                                  </w:rPr>
                                  <w:t>Guidelines for departmental staff on how to report determinations of non</w:t>
                                </w:r>
                                <w:r w:rsidR="00E70FE5">
                                  <w:rPr>
                                    <w:i/>
                                    <w:color w:val="FFFFFF" w:themeColor="background1"/>
                                  </w:rPr>
                                  <w:t>-</w:t>
                                </w:r>
                                <w:r>
                                  <w:rPr>
                                    <w:i/>
                                    <w:color w:val="FFFFFF" w:themeColor="background1"/>
                                  </w:rPr>
                                  <w:t xml:space="preserve">compliance as required by </w:t>
                                </w:r>
                                <w:r w:rsidR="00145317">
                                  <w:rPr>
                                    <w:i/>
                                    <w:color w:val="FFFFFF" w:themeColor="background1"/>
                                  </w:rPr>
                                  <w:t>Tennessee Code Annotated, Section 4-4-113.</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B563E3" w:rsidRDefault="00B563E3" w:rsidP="00357DAA">
                          <w:pPr>
                            <w:spacing w:line="240" w:lineRule="auto"/>
                            <w:jc w:val="center"/>
                            <w:rPr>
                              <w:color w:val="FFFFFF" w:themeColor="background1"/>
                            </w:rPr>
                          </w:pPr>
                          <w:r>
                            <w:rPr>
                              <w:color w:val="FFFFFF" w:themeColor="background1"/>
                            </w:rPr>
                            <w:t xml:space="preserve">TENNESSEE </w:t>
                          </w:r>
                          <w:r w:rsidR="00357DAA">
                            <w:rPr>
                              <w:color w:val="FFFFFF" w:themeColor="background1"/>
                            </w:rPr>
                            <w:t>STATE GOVERNMENT</w:t>
                          </w:r>
                        </w:p>
                        <w:p w:rsidR="00B563E3" w:rsidRPr="00922F55" w:rsidRDefault="00B563E3">
                          <w:pPr>
                            <w:spacing w:before="240"/>
                            <w:jc w:val="center"/>
                            <w:rPr>
                              <w:i/>
                              <w:color w:val="FFFFFF" w:themeColor="background1"/>
                            </w:rPr>
                          </w:pPr>
                          <w:r>
                            <w:rPr>
                              <w:i/>
                              <w:color w:val="FFFFFF" w:themeColor="background1"/>
                            </w:rPr>
                            <w:t>Guidelines for departmental staff on how to report determinations of non</w:t>
                          </w:r>
                          <w:r w:rsidR="00E70FE5">
                            <w:rPr>
                              <w:i/>
                              <w:color w:val="FFFFFF" w:themeColor="background1"/>
                            </w:rPr>
                            <w:t>-</w:t>
                          </w:r>
                          <w:r>
                            <w:rPr>
                              <w:i/>
                              <w:color w:val="FFFFFF" w:themeColor="background1"/>
                            </w:rPr>
                            <w:t xml:space="preserve">compliance as required by </w:t>
                          </w:r>
                          <w:r w:rsidR="00145317">
                            <w:rPr>
                              <w:i/>
                              <w:color w:val="FFFFFF" w:themeColor="background1"/>
                            </w:rPr>
                            <w:t>Tennessee Code Annotated, Section 4-4-113.</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DA2223C" wp14:editId="2008116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091037F" wp14:editId="063FFFD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047D4AB" wp14:editId="3EB688F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B563E3" w:rsidRPr="00E70FE5" w:rsidRDefault="00E70FE5">
                                <w:pPr>
                                  <w:rPr>
                                    <w:rFonts w:asciiTheme="majorHAnsi" w:hAnsiTheme="majorHAnsi"/>
                                    <w:noProof/>
                                    <w:color w:val="4F81BD" w:themeColor="accent1"/>
                                    <w:sz w:val="52"/>
                                    <w:szCs w:val="52"/>
                                  </w:rPr>
                                </w:pPr>
                                <w:r w:rsidRPr="00E70FE5">
                                  <w:rPr>
                                    <w:rFonts w:asciiTheme="majorHAnsi" w:hAnsiTheme="majorHAnsi"/>
                                    <w:noProof/>
                                    <w:color w:val="4F81BD" w:themeColor="accent1"/>
                                    <w:sz w:val="52"/>
                                    <w:szCs w:val="52"/>
                                  </w:rPr>
                                  <w:t xml:space="preserve">GUIDELINES FOR </w:t>
                                </w:r>
                                <w:r w:rsidR="00B563E3" w:rsidRPr="00E70FE5">
                                  <w:rPr>
                                    <w:rFonts w:asciiTheme="majorHAnsi" w:hAnsiTheme="majorHAnsi"/>
                                    <w:noProof/>
                                    <w:color w:val="4F81BD" w:themeColor="accent1"/>
                                    <w:sz w:val="52"/>
                                    <w:szCs w:val="52"/>
                                  </w:rPr>
                                  <w:t xml:space="preserve">NOTIFICATION OF NON-COMPLIANCE </w:t>
                                </w:r>
                              </w:p>
                              <w:p w:rsidR="00B563E3" w:rsidRDefault="00B563E3">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p w:rsidR="00B563E3" w:rsidRPr="00E70FE5" w:rsidRDefault="00E70FE5">
                          <w:pPr>
                            <w:rPr>
                              <w:rFonts w:asciiTheme="majorHAnsi" w:hAnsiTheme="majorHAnsi"/>
                              <w:noProof/>
                              <w:color w:val="4F81BD" w:themeColor="accent1"/>
                              <w:sz w:val="52"/>
                              <w:szCs w:val="52"/>
                            </w:rPr>
                          </w:pPr>
                          <w:r w:rsidRPr="00E70FE5">
                            <w:rPr>
                              <w:rFonts w:asciiTheme="majorHAnsi" w:hAnsiTheme="majorHAnsi"/>
                              <w:noProof/>
                              <w:color w:val="4F81BD" w:themeColor="accent1"/>
                              <w:sz w:val="52"/>
                              <w:szCs w:val="52"/>
                            </w:rPr>
                            <w:t xml:space="preserve">GUIDELINES FOR </w:t>
                          </w:r>
                          <w:r w:rsidR="00B563E3" w:rsidRPr="00E70FE5">
                            <w:rPr>
                              <w:rFonts w:asciiTheme="majorHAnsi" w:hAnsiTheme="majorHAnsi"/>
                              <w:noProof/>
                              <w:color w:val="4F81BD" w:themeColor="accent1"/>
                              <w:sz w:val="52"/>
                              <w:szCs w:val="52"/>
                            </w:rPr>
                            <w:t xml:space="preserve">NOTIFICATION OF NON-COMPLIANCE </w:t>
                          </w:r>
                        </w:p>
                        <w:p w:rsidR="00B563E3" w:rsidRDefault="00B563E3">
                          <w:pPr>
                            <w:rPr>
                              <w:rFonts w:asciiTheme="majorHAnsi" w:hAnsiTheme="majorHAnsi"/>
                              <w:noProof/>
                              <w:color w:val="1F497D" w:themeColor="text2"/>
                              <w:sz w:val="32"/>
                              <w:szCs w:val="40"/>
                            </w:rPr>
                          </w:pPr>
                        </w:p>
                      </w:txbxContent>
                    </v:textbox>
                    <w10:wrap type="square" anchorx="page" anchory="page"/>
                  </v:shape>
                </w:pict>
              </mc:Fallback>
            </mc:AlternateContent>
          </w:r>
        </w:p>
        <w:p w:rsidR="00151018" w:rsidRDefault="00151018" w:rsidP="00151018">
          <w:pPr>
            <w:jc w:val="center"/>
          </w:pPr>
          <w:r>
            <w:br w:type="page"/>
          </w:r>
        </w:p>
      </w:sdtContent>
    </w:sdt>
    <w:p w:rsidR="00E9291D" w:rsidRDefault="00E9291D" w:rsidP="0076531B">
      <w:pPr>
        <w:tabs>
          <w:tab w:val="left" w:pos="450"/>
        </w:tabs>
        <w:rPr>
          <w:rFonts w:asciiTheme="majorHAnsi" w:eastAsiaTheme="majorEastAsia" w:hAnsiTheme="majorHAnsi" w:cstheme="majorBidi"/>
          <w:b/>
          <w:bCs/>
          <w:color w:val="365F91" w:themeColor="accent1" w:themeShade="BF"/>
          <w:sz w:val="28"/>
          <w:szCs w:val="28"/>
          <w:lang w:eastAsia="ja-JP"/>
        </w:rPr>
      </w:pPr>
      <w:r>
        <w:rPr>
          <w:rFonts w:asciiTheme="majorHAnsi" w:eastAsiaTheme="majorEastAsia" w:hAnsiTheme="majorHAnsi" w:cstheme="majorBidi"/>
          <w:b/>
          <w:bCs/>
          <w:color w:val="365F91" w:themeColor="accent1" w:themeShade="BF"/>
          <w:sz w:val="28"/>
          <w:szCs w:val="28"/>
          <w:lang w:eastAsia="ja-JP"/>
        </w:rPr>
        <w:lastRenderedPageBreak/>
        <w:t>Table of Contents</w:t>
      </w:r>
    </w:p>
    <w:p w:rsidR="00AD728F" w:rsidRPr="00E9291D" w:rsidRDefault="00AD728F" w:rsidP="0076531B">
      <w:pPr>
        <w:tabs>
          <w:tab w:val="left" w:pos="450"/>
        </w:tabs>
        <w:rPr>
          <w:rFonts w:ascii="Arial" w:hAnsi="Arial" w:cs="Arial"/>
          <w:webHidden/>
          <w:sz w:val="20"/>
        </w:rPr>
      </w:pPr>
      <w:r w:rsidRPr="00E9291D">
        <w:rPr>
          <w:rFonts w:ascii="Arial" w:hAnsi="Arial" w:cs="Arial"/>
          <w:sz w:val="20"/>
        </w:rPr>
        <w:t>Purpose/Scope</w:t>
      </w:r>
      <w:r w:rsidR="00E9291D">
        <w:rPr>
          <w:rFonts w:ascii="Arial" w:hAnsi="Arial" w:cs="Arial"/>
          <w:sz w:val="20"/>
        </w:rPr>
        <w:t>……………………………………………………………………………………………………….2</w:t>
      </w:r>
      <w:r w:rsidRPr="00E9291D">
        <w:rPr>
          <w:rFonts w:ascii="Arial" w:hAnsi="Arial" w:cs="Arial"/>
          <w:webHidden/>
          <w:sz w:val="20"/>
        </w:rPr>
        <w:tab/>
      </w:r>
    </w:p>
    <w:p w:rsidR="00AD728F" w:rsidRPr="00E9291D" w:rsidRDefault="00AD728F" w:rsidP="0076531B">
      <w:pPr>
        <w:tabs>
          <w:tab w:val="left" w:pos="450"/>
        </w:tabs>
        <w:rPr>
          <w:rFonts w:ascii="Arial" w:hAnsi="Arial" w:cs="Arial"/>
          <w:webHidden/>
          <w:sz w:val="20"/>
        </w:rPr>
      </w:pPr>
      <w:r w:rsidRPr="00E9291D">
        <w:rPr>
          <w:rFonts w:ascii="Arial" w:hAnsi="Arial" w:cs="Arial"/>
          <w:sz w:val="20"/>
        </w:rPr>
        <w:t>I.</w:t>
      </w:r>
      <w:r w:rsidRPr="00E9291D">
        <w:rPr>
          <w:rFonts w:ascii="Arial" w:hAnsi="Arial" w:cs="Arial"/>
          <w:sz w:val="20"/>
        </w:rPr>
        <w:tab/>
        <w:t>Introduction</w:t>
      </w:r>
      <w:r w:rsidR="00E9291D">
        <w:rPr>
          <w:rFonts w:ascii="Arial" w:hAnsi="Arial" w:cs="Arial"/>
          <w:sz w:val="20"/>
        </w:rPr>
        <w:t>……………………………………………………………………………………………………..2</w:t>
      </w:r>
      <w:r w:rsidRPr="00E9291D">
        <w:rPr>
          <w:rFonts w:ascii="Arial" w:hAnsi="Arial" w:cs="Arial"/>
          <w:webHidden/>
          <w:sz w:val="20"/>
        </w:rPr>
        <w:tab/>
      </w:r>
    </w:p>
    <w:p w:rsidR="0076531B" w:rsidRPr="00E9291D" w:rsidRDefault="0076531B" w:rsidP="00E9291D">
      <w:pPr>
        <w:tabs>
          <w:tab w:val="left" w:pos="450"/>
          <w:tab w:val="left" w:pos="1080"/>
        </w:tabs>
        <w:spacing w:after="120"/>
        <w:rPr>
          <w:rFonts w:ascii="Arial" w:hAnsi="Arial" w:cs="Arial"/>
          <w:webHidden/>
          <w:sz w:val="20"/>
        </w:rPr>
      </w:pPr>
      <w:r w:rsidRPr="00E9291D">
        <w:rPr>
          <w:rFonts w:ascii="Arial" w:hAnsi="Arial" w:cs="Arial"/>
          <w:sz w:val="20"/>
        </w:rPr>
        <w:tab/>
        <w:t>a)</w:t>
      </w:r>
      <w:r w:rsidRPr="00E9291D">
        <w:rPr>
          <w:rFonts w:ascii="Arial" w:hAnsi="Arial" w:cs="Arial"/>
          <w:sz w:val="20"/>
        </w:rPr>
        <w:tab/>
      </w:r>
      <w:r w:rsidR="00AD728F" w:rsidRPr="00E9291D">
        <w:rPr>
          <w:rFonts w:ascii="Arial" w:hAnsi="Arial" w:cs="Arial"/>
          <w:sz w:val="20"/>
        </w:rPr>
        <w:t>Outline of Requirements</w:t>
      </w:r>
      <w:r w:rsidR="00E9291D">
        <w:rPr>
          <w:rFonts w:ascii="Arial" w:hAnsi="Arial" w:cs="Arial"/>
          <w:sz w:val="20"/>
        </w:rPr>
        <w:t>………………………………………………………………………………2</w:t>
      </w:r>
    </w:p>
    <w:p w:rsidR="0076531B" w:rsidRPr="00E9291D" w:rsidRDefault="0076531B" w:rsidP="00E9291D">
      <w:pPr>
        <w:tabs>
          <w:tab w:val="left" w:pos="450"/>
          <w:tab w:val="left" w:pos="1080"/>
        </w:tabs>
        <w:spacing w:after="120"/>
        <w:rPr>
          <w:rFonts w:ascii="Arial" w:hAnsi="Arial" w:cs="Arial"/>
          <w:webHidden/>
          <w:sz w:val="20"/>
        </w:rPr>
      </w:pPr>
      <w:r w:rsidRPr="00E9291D">
        <w:rPr>
          <w:rFonts w:ascii="Arial" w:hAnsi="Arial" w:cs="Arial"/>
          <w:webHidden/>
          <w:sz w:val="20"/>
        </w:rPr>
        <w:tab/>
        <w:t>b)</w:t>
      </w:r>
      <w:r w:rsidRPr="00E9291D">
        <w:rPr>
          <w:rFonts w:ascii="Arial" w:hAnsi="Arial" w:cs="Arial"/>
          <w:webHidden/>
          <w:sz w:val="20"/>
        </w:rPr>
        <w:tab/>
        <w:t>References</w:t>
      </w:r>
      <w:r w:rsidR="00FA7A37">
        <w:rPr>
          <w:rFonts w:ascii="Arial" w:hAnsi="Arial" w:cs="Arial"/>
          <w:webHidden/>
          <w:sz w:val="20"/>
        </w:rPr>
        <w:t>……………………………………………………………………………………………..2</w:t>
      </w:r>
    </w:p>
    <w:p w:rsidR="0076531B" w:rsidRPr="00E9291D" w:rsidRDefault="0076531B" w:rsidP="0076531B">
      <w:pPr>
        <w:tabs>
          <w:tab w:val="left" w:pos="450"/>
          <w:tab w:val="left" w:pos="1080"/>
        </w:tabs>
        <w:spacing w:after="240"/>
        <w:rPr>
          <w:rFonts w:ascii="Arial" w:hAnsi="Arial" w:cs="Arial"/>
          <w:webHidden/>
          <w:sz w:val="20"/>
        </w:rPr>
      </w:pPr>
      <w:r w:rsidRPr="00E9291D">
        <w:rPr>
          <w:rFonts w:ascii="Arial" w:hAnsi="Arial" w:cs="Arial"/>
          <w:webHidden/>
          <w:sz w:val="20"/>
        </w:rPr>
        <w:tab/>
        <w:t>c)</w:t>
      </w:r>
      <w:r w:rsidRPr="00E9291D">
        <w:rPr>
          <w:rFonts w:ascii="Arial" w:hAnsi="Arial" w:cs="Arial"/>
          <w:webHidden/>
          <w:sz w:val="20"/>
        </w:rPr>
        <w:tab/>
        <w:t>Scope</w:t>
      </w:r>
      <w:r w:rsidR="00E9291D">
        <w:rPr>
          <w:rFonts w:ascii="Arial" w:hAnsi="Arial" w:cs="Arial"/>
          <w:webHidden/>
          <w:sz w:val="20"/>
        </w:rPr>
        <w:t>……………………………………………………………………………………………………2</w:t>
      </w:r>
    </w:p>
    <w:p w:rsidR="0076531B" w:rsidRDefault="0076531B" w:rsidP="0076531B">
      <w:pPr>
        <w:tabs>
          <w:tab w:val="left" w:pos="450"/>
        </w:tabs>
        <w:rPr>
          <w:rFonts w:ascii="Arial" w:hAnsi="Arial" w:cs="Arial"/>
          <w:sz w:val="20"/>
        </w:rPr>
      </w:pPr>
      <w:r w:rsidRPr="00E9291D">
        <w:rPr>
          <w:rFonts w:ascii="Arial" w:hAnsi="Arial" w:cs="Arial"/>
          <w:sz w:val="20"/>
        </w:rPr>
        <w:t>II.</w:t>
      </w:r>
      <w:r w:rsidRPr="00E9291D">
        <w:rPr>
          <w:rFonts w:ascii="Arial" w:hAnsi="Arial" w:cs="Arial"/>
          <w:sz w:val="20"/>
        </w:rPr>
        <w:tab/>
        <w:t>Notification Requirements</w:t>
      </w:r>
      <w:r w:rsidR="00FA7A37">
        <w:rPr>
          <w:rFonts w:ascii="Arial" w:hAnsi="Arial" w:cs="Arial"/>
          <w:sz w:val="20"/>
        </w:rPr>
        <w:t>…………………………………………………………………………………….3</w:t>
      </w:r>
      <w:r w:rsidRPr="00E9291D">
        <w:rPr>
          <w:rFonts w:ascii="Arial" w:hAnsi="Arial" w:cs="Arial"/>
          <w:sz w:val="20"/>
        </w:rPr>
        <w:t xml:space="preserve"> </w:t>
      </w:r>
    </w:p>
    <w:p w:rsidR="00E9291D" w:rsidRPr="00E9291D" w:rsidRDefault="00E9291D" w:rsidP="00E9291D">
      <w:pPr>
        <w:tabs>
          <w:tab w:val="left" w:pos="450"/>
          <w:tab w:val="left" w:pos="1080"/>
        </w:tabs>
        <w:spacing w:after="120"/>
        <w:rPr>
          <w:rFonts w:ascii="Arial" w:hAnsi="Arial" w:cs="Arial"/>
          <w:webHidden/>
          <w:sz w:val="20"/>
        </w:rPr>
      </w:pPr>
      <w:r w:rsidRPr="00E9291D">
        <w:rPr>
          <w:rFonts w:ascii="Arial" w:hAnsi="Arial" w:cs="Arial"/>
          <w:sz w:val="20"/>
        </w:rPr>
        <w:tab/>
        <w:t>a)</w:t>
      </w:r>
      <w:r w:rsidRPr="00E9291D">
        <w:rPr>
          <w:rFonts w:ascii="Arial" w:hAnsi="Arial" w:cs="Arial"/>
          <w:sz w:val="20"/>
        </w:rPr>
        <w:tab/>
      </w:r>
      <w:r>
        <w:rPr>
          <w:rFonts w:ascii="Arial" w:hAnsi="Arial" w:cs="Arial"/>
          <w:sz w:val="20"/>
        </w:rPr>
        <w:t>Notification Template</w:t>
      </w:r>
      <w:r w:rsidR="00FA7A37">
        <w:rPr>
          <w:rFonts w:ascii="Arial" w:hAnsi="Arial" w:cs="Arial"/>
          <w:sz w:val="20"/>
        </w:rPr>
        <w:t>………………………………………………………………………………….3</w:t>
      </w:r>
      <w:r w:rsidRPr="00E9291D">
        <w:rPr>
          <w:rFonts w:ascii="Arial" w:hAnsi="Arial" w:cs="Arial"/>
          <w:webHidden/>
          <w:sz w:val="20"/>
        </w:rPr>
        <w:tab/>
      </w:r>
    </w:p>
    <w:p w:rsidR="00E9291D" w:rsidRPr="00E9291D" w:rsidRDefault="00E9291D" w:rsidP="00E9291D">
      <w:pPr>
        <w:tabs>
          <w:tab w:val="left" w:pos="450"/>
          <w:tab w:val="left" w:pos="1080"/>
        </w:tabs>
        <w:spacing w:after="120"/>
        <w:rPr>
          <w:rFonts w:ascii="Arial" w:hAnsi="Arial" w:cs="Arial"/>
          <w:webHidden/>
          <w:sz w:val="20"/>
        </w:rPr>
      </w:pPr>
      <w:r w:rsidRPr="00E9291D">
        <w:rPr>
          <w:rFonts w:ascii="Arial" w:hAnsi="Arial" w:cs="Arial"/>
          <w:webHidden/>
          <w:sz w:val="20"/>
        </w:rPr>
        <w:tab/>
        <w:t>b)</w:t>
      </w:r>
      <w:r w:rsidRPr="00E9291D">
        <w:rPr>
          <w:rFonts w:ascii="Arial" w:hAnsi="Arial" w:cs="Arial"/>
          <w:webHidden/>
          <w:sz w:val="20"/>
        </w:rPr>
        <w:tab/>
      </w:r>
      <w:r>
        <w:rPr>
          <w:rFonts w:ascii="Arial" w:hAnsi="Arial" w:cs="Arial"/>
          <w:webHidden/>
          <w:sz w:val="20"/>
        </w:rPr>
        <w:t>Timing of Notification</w:t>
      </w:r>
      <w:r w:rsidR="00FA7A37">
        <w:rPr>
          <w:rFonts w:ascii="Arial" w:hAnsi="Arial" w:cs="Arial"/>
          <w:webHidden/>
          <w:sz w:val="20"/>
        </w:rPr>
        <w:t>………………………………………………………………………………….3</w:t>
      </w:r>
    </w:p>
    <w:p w:rsidR="00E9291D" w:rsidRPr="00E9291D" w:rsidRDefault="00E9291D" w:rsidP="00E9291D">
      <w:pPr>
        <w:tabs>
          <w:tab w:val="left" w:pos="450"/>
          <w:tab w:val="left" w:pos="1080"/>
        </w:tabs>
        <w:spacing w:after="240"/>
        <w:rPr>
          <w:rFonts w:ascii="Arial" w:hAnsi="Arial" w:cs="Arial"/>
          <w:sz w:val="20"/>
        </w:rPr>
      </w:pPr>
      <w:r w:rsidRPr="00E9291D">
        <w:rPr>
          <w:rFonts w:ascii="Arial" w:hAnsi="Arial" w:cs="Arial"/>
          <w:webHidden/>
          <w:sz w:val="20"/>
        </w:rPr>
        <w:tab/>
        <w:t>c)</w:t>
      </w:r>
      <w:r w:rsidRPr="00E9291D">
        <w:rPr>
          <w:rFonts w:ascii="Arial" w:hAnsi="Arial" w:cs="Arial"/>
          <w:webHidden/>
          <w:sz w:val="20"/>
        </w:rPr>
        <w:tab/>
      </w:r>
      <w:r>
        <w:rPr>
          <w:rFonts w:ascii="Arial" w:hAnsi="Arial" w:cs="Arial"/>
          <w:webHidden/>
          <w:sz w:val="20"/>
        </w:rPr>
        <w:t>Notification Submission</w:t>
      </w:r>
      <w:r w:rsidR="00FA7A37">
        <w:rPr>
          <w:rFonts w:ascii="Arial" w:hAnsi="Arial" w:cs="Arial"/>
          <w:webHidden/>
          <w:sz w:val="20"/>
        </w:rPr>
        <w:t>……………………………………………………………………………….3</w:t>
      </w:r>
    </w:p>
    <w:p w:rsidR="0076531B" w:rsidRPr="00E9291D" w:rsidRDefault="0076531B" w:rsidP="00FA7A37">
      <w:pPr>
        <w:tabs>
          <w:tab w:val="left" w:pos="450"/>
        </w:tabs>
        <w:rPr>
          <w:rFonts w:ascii="Arial" w:hAnsi="Arial" w:cs="Arial"/>
          <w:sz w:val="20"/>
        </w:rPr>
      </w:pPr>
      <w:r w:rsidRPr="00E9291D">
        <w:rPr>
          <w:rFonts w:ascii="Arial" w:hAnsi="Arial" w:cs="Arial"/>
          <w:sz w:val="20"/>
        </w:rPr>
        <w:t>III.</w:t>
      </w:r>
      <w:r w:rsidRPr="00E9291D">
        <w:rPr>
          <w:rFonts w:ascii="Arial" w:hAnsi="Arial" w:cs="Arial"/>
          <w:sz w:val="20"/>
        </w:rPr>
        <w:tab/>
        <w:t>Follow-up Requirements</w:t>
      </w:r>
      <w:r w:rsidR="00FA7A37">
        <w:rPr>
          <w:rFonts w:ascii="Arial" w:hAnsi="Arial" w:cs="Arial"/>
          <w:sz w:val="20"/>
        </w:rPr>
        <w:t>………………………………………………………………………………………3</w:t>
      </w:r>
    </w:p>
    <w:p w:rsidR="00370226" w:rsidRPr="0076531B" w:rsidRDefault="00370226" w:rsidP="0076531B">
      <w:pPr>
        <w:pStyle w:val="ListParagraph"/>
        <w:numPr>
          <w:ilvl w:val="0"/>
          <w:numId w:val="41"/>
        </w:numPr>
        <w:tabs>
          <w:tab w:val="left" w:pos="450"/>
        </w:tabs>
        <w:ind w:left="1080"/>
        <w:rPr>
          <w:rFonts w:asciiTheme="majorHAnsi" w:eastAsiaTheme="majorEastAsia" w:hAnsiTheme="majorHAnsi" w:cstheme="majorBidi"/>
          <w:b/>
          <w:bCs/>
          <w:color w:val="365F91" w:themeColor="accent1" w:themeShade="BF"/>
          <w:sz w:val="28"/>
          <w:szCs w:val="28"/>
        </w:rPr>
      </w:pPr>
      <w:r>
        <w:br w:type="page"/>
      </w:r>
    </w:p>
    <w:p w:rsidR="002D5766" w:rsidRPr="00922F55" w:rsidRDefault="002D5766" w:rsidP="003E14B9">
      <w:pPr>
        <w:pStyle w:val="Heading1"/>
        <w:numPr>
          <w:ilvl w:val="0"/>
          <w:numId w:val="0"/>
        </w:numPr>
        <w:pBdr>
          <w:bottom w:val="single" w:sz="4" w:space="1" w:color="auto"/>
        </w:pBdr>
      </w:pPr>
      <w:bookmarkStart w:id="0" w:name="_Toc388363535"/>
      <w:r w:rsidRPr="00922F55">
        <w:lastRenderedPageBreak/>
        <w:t>Purpose/Scope</w:t>
      </w:r>
      <w:bookmarkEnd w:id="0"/>
    </w:p>
    <w:p w:rsidR="003E14B9" w:rsidRDefault="003E14B9" w:rsidP="00675B82">
      <w:pPr>
        <w:spacing w:before="240" w:after="0"/>
        <w:ind w:left="270"/>
      </w:pPr>
      <w:r w:rsidRPr="00C1611F">
        <w:rPr>
          <w:rFonts w:ascii="Arial" w:hAnsi="Arial" w:cs="Arial"/>
          <w:sz w:val="20"/>
        </w:rPr>
        <w:t>To provide guidance related</w:t>
      </w:r>
      <w:r w:rsidR="000D384A" w:rsidRPr="00C1611F">
        <w:rPr>
          <w:rFonts w:ascii="Arial" w:hAnsi="Arial" w:cs="Arial"/>
          <w:sz w:val="20"/>
        </w:rPr>
        <w:t xml:space="preserve"> </w:t>
      </w:r>
      <w:r w:rsidR="00B55B54" w:rsidRPr="00C1611F">
        <w:rPr>
          <w:rFonts w:ascii="Arial" w:hAnsi="Arial" w:cs="Arial"/>
          <w:sz w:val="20"/>
        </w:rPr>
        <w:t xml:space="preserve">to </w:t>
      </w:r>
      <w:r w:rsidR="007334EC" w:rsidRPr="00C1611F">
        <w:rPr>
          <w:rFonts w:ascii="Arial" w:hAnsi="Arial" w:cs="Arial"/>
          <w:sz w:val="20"/>
        </w:rPr>
        <w:t xml:space="preserve">the </w:t>
      </w:r>
      <w:r w:rsidR="000D384A" w:rsidRPr="00C1611F">
        <w:rPr>
          <w:rFonts w:ascii="Arial" w:hAnsi="Arial" w:cs="Arial"/>
          <w:sz w:val="20"/>
        </w:rPr>
        <w:t xml:space="preserve">notification of noncompliance to the Comptroller of the Treasury and Commissioner of Finance and Administration as required by </w:t>
      </w:r>
      <w:r w:rsidR="00145317">
        <w:rPr>
          <w:rFonts w:ascii="Arial" w:hAnsi="Arial" w:cs="Arial"/>
          <w:sz w:val="20"/>
        </w:rPr>
        <w:t>Tennessee Code Annotated, Section 4-4-113</w:t>
      </w:r>
      <w:r w:rsidR="000D384A" w:rsidRPr="00C1611F">
        <w:rPr>
          <w:rFonts w:ascii="Arial" w:hAnsi="Arial" w:cs="Arial"/>
          <w:sz w:val="20"/>
        </w:rPr>
        <w:t>.</w:t>
      </w:r>
      <w:r w:rsidR="00B55B54" w:rsidRPr="00C1611F">
        <w:rPr>
          <w:rFonts w:ascii="Arial" w:hAnsi="Arial" w:cs="Arial"/>
          <w:sz w:val="20"/>
        </w:rPr>
        <w:t xml:space="preserve">  </w:t>
      </w:r>
    </w:p>
    <w:p w:rsidR="00FD42AF" w:rsidRDefault="009A3AB3" w:rsidP="00675B82">
      <w:pPr>
        <w:pStyle w:val="Heading1"/>
        <w:spacing w:before="240"/>
      </w:pPr>
      <w:r>
        <w:t>Introduction</w:t>
      </w:r>
    </w:p>
    <w:p w:rsidR="00E070D0" w:rsidRDefault="00D92567" w:rsidP="00A2411D">
      <w:pPr>
        <w:pStyle w:val="Heading3"/>
      </w:pPr>
      <w:r>
        <w:t>Outline of Requirements</w:t>
      </w:r>
    </w:p>
    <w:p w:rsidR="00FB1A29" w:rsidRPr="00C1611F" w:rsidRDefault="00FB1A29" w:rsidP="00675B82">
      <w:pPr>
        <w:spacing w:before="120"/>
        <w:ind w:left="270"/>
        <w:rPr>
          <w:rFonts w:ascii="Arial" w:hAnsi="Arial" w:cs="Arial"/>
          <w:strike/>
          <w:sz w:val="20"/>
        </w:rPr>
      </w:pPr>
      <w:r w:rsidRPr="00C1611F">
        <w:rPr>
          <w:rFonts w:ascii="Arial" w:hAnsi="Arial" w:cs="Arial"/>
          <w:sz w:val="20"/>
        </w:rPr>
        <w:t xml:space="preserve">State departments receiving federal financial assistance are required to </w:t>
      </w:r>
      <w:r w:rsidR="004504AA">
        <w:rPr>
          <w:rFonts w:ascii="Arial" w:hAnsi="Arial" w:cs="Arial"/>
          <w:sz w:val="20"/>
        </w:rPr>
        <w:t>report</w:t>
      </w:r>
      <w:r w:rsidRPr="00C1611F">
        <w:rPr>
          <w:rFonts w:ascii="Arial" w:hAnsi="Arial" w:cs="Arial"/>
          <w:sz w:val="20"/>
        </w:rPr>
        <w:t xml:space="preserve"> any official notice</w:t>
      </w:r>
      <w:r w:rsidR="004504AA">
        <w:rPr>
          <w:rFonts w:ascii="Arial" w:hAnsi="Arial" w:cs="Arial"/>
          <w:sz w:val="20"/>
        </w:rPr>
        <w:t xml:space="preserve"> received from the Federal Awarding Agency or designated Cognizant agency communicating</w:t>
      </w:r>
      <w:r w:rsidRPr="00C1611F">
        <w:rPr>
          <w:rFonts w:ascii="Arial" w:hAnsi="Arial" w:cs="Arial"/>
          <w:sz w:val="20"/>
        </w:rPr>
        <w:t xml:space="preserve"> a determination of </w:t>
      </w:r>
      <w:r>
        <w:rPr>
          <w:rFonts w:ascii="Arial" w:hAnsi="Arial" w:cs="Arial"/>
          <w:sz w:val="20"/>
        </w:rPr>
        <w:t>non</w:t>
      </w:r>
      <w:r w:rsidRPr="00C1611F">
        <w:rPr>
          <w:rFonts w:ascii="Arial" w:hAnsi="Arial" w:cs="Arial"/>
          <w:sz w:val="20"/>
        </w:rPr>
        <w:t>compliance or any deficiency related to compliance with federal statues, regulations, or the terms and conditions of the federal award that could result in:</w:t>
      </w:r>
    </w:p>
    <w:p w:rsidR="00FB1A29" w:rsidRPr="00C1611F"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Repayment of federal financial assistance.</w:t>
      </w:r>
    </w:p>
    <w:p w:rsidR="00FB1A29" w:rsidRPr="00C1611F"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Reduction in future federal financial assistance by administrative offset against other requests for reimbursement or subsequent awards.</w:t>
      </w:r>
    </w:p>
    <w:p w:rsidR="00FB1A29" w:rsidRPr="00C1611F"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Withholding of advance payments otherwise due to the department.</w:t>
      </w:r>
    </w:p>
    <w:p w:rsidR="00FB1A29" w:rsidRPr="00C1611F"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Temporary withholding of federal financial assistance pending corrective action by the department.</w:t>
      </w:r>
    </w:p>
    <w:p w:rsidR="00FB1A29" w:rsidRPr="00C1611F"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Whole or partial suspension or termination of the federal award.</w:t>
      </w:r>
    </w:p>
    <w:p w:rsidR="00FB1A29" w:rsidRPr="00D92567" w:rsidRDefault="00FB1A29" w:rsidP="00A87FB6">
      <w:pPr>
        <w:pStyle w:val="ListParagraph"/>
        <w:numPr>
          <w:ilvl w:val="0"/>
          <w:numId w:val="38"/>
        </w:numPr>
        <w:spacing w:before="240"/>
        <w:ind w:left="1080"/>
        <w:rPr>
          <w:rFonts w:ascii="Arial" w:hAnsi="Arial" w:cs="Arial"/>
          <w:strike/>
          <w:sz w:val="20"/>
        </w:rPr>
      </w:pPr>
      <w:r w:rsidRPr="00C1611F">
        <w:rPr>
          <w:rFonts w:ascii="Arial" w:hAnsi="Arial" w:cs="Arial"/>
          <w:sz w:val="20"/>
        </w:rPr>
        <w:t>Federal awarding agency taking any other remedies legally available to it, including not seeking recovery of a disallowance or improper payment.</w:t>
      </w:r>
    </w:p>
    <w:p w:rsidR="00D92567" w:rsidRPr="00C1611F" w:rsidRDefault="00D92567" w:rsidP="00D92567">
      <w:pPr>
        <w:spacing w:before="240"/>
        <w:ind w:left="432" w:hanging="162"/>
        <w:rPr>
          <w:rFonts w:ascii="Arial" w:hAnsi="Arial" w:cs="Arial"/>
          <w:sz w:val="20"/>
        </w:rPr>
      </w:pPr>
      <w:r w:rsidRPr="00C1611F">
        <w:rPr>
          <w:rFonts w:ascii="Arial" w:hAnsi="Arial" w:cs="Arial"/>
          <w:sz w:val="20"/>
        </w:rPr>
        <w:t>To further clarify, an official notice</w:t>
      </w:r>
      <w:r>
        <w:rPr>
          <w:rFonts w:ascii="Arial" w:hAnsi="Arial" w:cs="Arial"/>
          <w:sz w:val="20"/>
        </w:rPr>
        <w:t xml:space="preserve"> of a determination of noncompliance includes</w:t>
      </w:r>
      <w:r w:rsidRPr="00C1611F">
        <w:rPr>
          <w:rFonts w:ascii="Arial" w:hAnsi="Arial" w:cs="Arial"/>
          <w:sz w:val="20"/>
        </w:rPr>
        <w:t>:</w:t>
      </w:r>
    </w:p>
    <w:p w:rsidR="00D92567" w:rsidRPr="00C1611F" w:rsidRDefault="00D92567" w:rsidP="00A87FB6">
      <w:pPr>
        <w:pStyle w:val="ListParagraph"/>
        <w:numPr>
          <w:ilvl w:val="0"/>
          <w:numId w:val="38"/>
        </w:numPr>
        <w:tabs>
          <w:tab w:val="left" w:pos="1080"/>
        </w:tabs>
        <w:spacing w:before="240"/>
        <w:ind w:left="720" w:firstLine="0"/>
        <w:rPr>
          <w:rFonts w:ascii="Arial" w:hAnsi="Arial" w:cs="Arial"/>
          <w:sz w:val="20"/>
        </w:rPr>
      </w:pPr>
      <w:r>
        <w:rPr>
          <w:rFonts w:ascii="Arial" w:hAnsi="Arial" w:cs="Arial"/>
          <w:sz w:val="20"/>
        </w:rPr>
        <w:t>Verbal or</w:t>
      </w:r>
      <w:r w:rsidRPr="00C1611F">
        <w:rPr>
          <w:rFonts w:ascii="Arial" w:hAnsi="Arial" w:cs="Arial"/>
          <w:sz w:val="20"/>
        </w:rPr>
        <w:t xml:space="preserve"> e-mail communication.</w:t>
      </w:r>
    </w:p>
    <w:p w:rsidR="00D92567" w:rsidRPr="00C1611F" w:rsidRDefault="00D92567" w:rsidP="00A87FB6">
      <w:pPr>
        <w:pStyle w:val="ListParagraph"/>
        <w:numPr>
          <w:ilvl w:val="0"/>
          <w:numId w:val="38"/>
        </w:numPr>
        <w:tabs>
          <w:tab w:val="left" w:pos="1080"/>
        </w:tabs>
        <w:spacing w:before="240"/>
        <w:ind w:left="720" w:firstLine="0"/>
        <w:rPr>
          <w:rFonts w:ascii="Arial" w:hAnsi="Arial" w:cs="Arial"/>
          <w:sz w:val="20"/>
        </w:rPr>
      </w:pPr>
      <w:r w:rsidRPr="00C1611F">
        <w:rPr>
          <w:rFonts w:ascii="Arial" w:hAnsi="Arial" w:cs="Arial"/>
          <w:sz w:val="20"/>
        </w:rPr>
        <w:t>Written letters or memos.</w:t>
      </w:r>
    </w:p>
    <w:p w:rsidR="00B61BC0" w:rsidRDefault="00D92567" w:rsidP="00A87FB6">
      <w:pPr>
        <w:pStyle w:val="ListParagraph"/>
        <w:numPr>
          <w:ilvl w:val="0"/>
          <w:numId w:val="38"/>
        </w:numPr>
        <w:tabs>
          <w:tab w:val="left" w:pos="1080"/>
        </w:tabs>
        <w:spacing w:before="240"/>
        <w:ind w:left="720" w:firstLine="0"/>
        <w:rPr>
          <w:rFonts w:ascii="Arial" w:hAnsi="Arial" w:cs="Arial"/>
          <w:strike/>
          <w:sz w:val="20"/>
        </w:rPr>
      </w:pPr>
      <w:r>
        <w:rPr>
          <w:rFonts w:ascii="Arial" w:hAnsi="Arial" w:cs="Arial"/>
          <w:sz w:val="20"/>
        </w:rPr>
        <w:t>Official Reports</w:t>
      </w:r>
      <w:r w:rsidRPr="00C1611F">
        <w:rPr>
          <w:rFonts w:ascii="Arial" w:hAnsi="Arial" w:cs="Arial"/>
          <w:sz w:val="20"/>
        </w:rPr>
        <w:t>.</w:t>
      </w:r>
      <w:r w:rsidR="00B61BC0" w:rsidRPr="00B61BC0">
        <w:rPr>
          <w:rFonts w:ascii="Arial" w:hAnsi="Arial" w:cs="Arial"/>
          <w:strike/>
          <w:sz w:val="20"/>
        </w:rPr>
        <w:t xml:space="preserve"> </w:t>
      </w:r>
    </w:p>
    <w:p w:rsidR="00280BF2" w:rsidRPr="00280BF2" w:rsidRDefault="00280BF2" w:rsidP="00280BF2">
      <w:pPr>
        <w:spacing w:before="240"/>
        <w:ind w:left="270"/>
        <w:rPr>
          <w:rFonts w:ascii="Arial" w:hAnsi="Arial" w:cs="Arial"/>
          <w:strike/>
          <w:sz w:val="20"/>
        </w:rPr>
      </w:pPr>
      <w:r>
        <w:rPr>
          <w:rFonts w:ascii="Arial" w:hAnsi="Arial" w:cs="Arial"/>
          <w:sz w:val="20"/>
        </w:rPr>
        <w:t xml:space="preserve">Neither materiality nor the ability to quantify the determination of noncompliance </w:t>
      </w:r>
      <w:r w:rsidR="00B47B21">
        <w:rPr>
          <w:rFonts w:ascii="Arial" w:hAnsi="Arial" w:cs="Arial"/>
          <w:sz w:val="20"/>
        </w:rPr>
        <w:t>is a</w:t>
      </w:r>
      <w:r>
        <w:rPr>
          <w:rFonts w:ascii="Arial" w:hAnsi="Arial" w:cs="Arial"/>
          <w:sz w:val="20"/>
        </w:rPr>
        <w:t xml:space="preserve"> factor</w:t>
      </w:r>
      <w:r w:rsidR="00311706">
        <w:rPr>
          <w:rFonts w:ascii="Arial" w:hAnsi="Arial" w:cs="Arial"/>
          <w:sz w:val="20"/>
        </w:rPr>
        <w:t xml:space="preserve"> when reporting the determination of noncompliance.  Additionally, </w:t>
      </w:r>
      <w:r w:rsidR="000D638A">
        <w:rPr>
          <w:rFonts w:ascii="Arial" w:hAnsi="Arial" w:cs="Arial"/>
          <w:sz w:val="20"/>
        </w:rPr>
        <w:t xml:space="preserve">it is likely that </w:t>
      </w:r>
      <w:r w:rsidR="00B47B21">
        <w:rPr>
          <w:rFonts w:ascii="Arial" w:hAnsi="Arial" w:cs="Arial"/>
          <w:sz w:val="20"/>
        </w:rPr>
        <w:t>multiple notifications will be submitted on the same determination of noncompliance.</w:t>
      </w:r>
      <w:r>
        <w:rPr>
          <w:rFonts w:ascii="Arial" w:hAnsi="Arial" w:cs="Arial"/>
          <w:strike/>
          <w:sz w:val="20"/>
        </w:rPr>
        <w:t xml:space="preserve"> </w:t>
      </w:r>
    </w:p>
    <w:p w:rsidR="00E070D0" w:rsidRDefault="009A3AB3" w:rsidP="00DE13EE">
      <w:pPr>
        <w:pStyle w:val="Heading3"/>
      </w:pPr>
      <w:r>
        <w:t>References</w:t>
      </w:r>
    </w:p>
    <w:p w:rsidR="00E070D0" w:rsidRPr="00C1611F" w:rsidRDefault="00321D90" w:rsidP="00675B82">
      <w:pPr>
        <w:spacing w:before="120"/>
        <w:ind w:left="360"/>
        <w:rPr>
          <w:rFonts w:ascii="Arial" w:hAnsi="Arial" w:cs="Arial"/>
          <w:i/>
          <w:sz w:val="20"/>
        </w:rPr>
      </w:pPr>
      <w:r w:rsidRPr="00C1611F">
        <w:rPr>
          <w:rFonts w:ascii="Arial" w:hAnsi="Arial" w:cs="Arial"/>
          <w:sz w:val="20"/>
        </w:rPr>
        <w:t xml:space="preserve">Notifications of Non-Compliance referenced in these guidelines are those required by </w:t>
      </w:r>
      <w:hyperlink r:id="rId10" w:history="1">
        <w:r w:rsidR="00145317">
          <w:rPr>
            <w:rStyle w:val="Hyperlink"/>
            <w:rFonts w:ascii="Arial" w:hAnsi="Arial" w:cs="Arial"/>
            <w:sz w:val="20"/>
          </w:rPr>
          <w:t>Tennessee</w:t>
        </w:r>
      </w:hyperlink>
      <w:r w:rsidR="00145317">
        <w:rPr>
          <w:rStyle w:val="Hyperlink"/>
          <w:rFonts w:ascii="Arial" w:hAnsi="Arial" w:cs="Arial"/>
          <w:sz w:val="20"/>
        </w:rPr>
        <w:t xml:space="preserve"> Code Annotated, Section 4-4-113</w:t>
      </w:r>
      <w:r w:rsidRPr="00C1611F">
        <w:rPr>
          <w:rFonts w:ascii="Arial" w:hAnsi="Arial" w:cs="Arial"/>
          <w:sz w:val="20"/>
        </w:rPr>
        <w:t>.</w:t>
      </w:r>
    </w:p>
    <w:p w:rsidR="00C63407" w:rsidRPr="00FD42AF" w:rsidRDefault="00D92567" w:rsidP="00C63407">
      <w:pPr>
        <w:pStyle w:val="Heading3"/>
      </w:pPr>
      <w:r>
        <w:t>Scope</w:t>
      </w:r>
    </w:p>
    <w:p w:rsidR="00D92567" w:rsidRPr="00C1611F" w:rsidRDefault="00145317" w:rsidP="00675B82">
      <w:pPr>
        <w:spacing w:before="120"/>
        <w:ind w:left="270"/>
        <w:rPr>
          <w:rFonts w:ascii="Arial" w:hAnsi="Arial" w:cs="Arial"/>
          <w:sz w:val="20"/>
        </w:rPr>
      </w:pPr>
      <w:r>
        <w:rPr>
          <w:rFonts w:ascii="Arial" w:hAnsi="Arial" w:cs="Arial"/>
          <w:sz w:val="20"/>
        </w:rPr>
        <w:t>Tennessee Code Annotated, Section 4-4-113</w:t>
      </w:r>
      <w:r w:rsidR="0025568C" w:rsidRPr="00C1611F">
        <w:rPr>
          <w:rFonts w:ascii="Arial" w:hAnsi="Arial" w:cs="Arial"/>
          <w:sz w:val="20"/>
        </w:rPr>
        <w:t xml:space="preserve"> </w:t>
      </w:r>
      <w:r w:rsidR="00D92567">
        <w:rPr>
          <w:rFonts w:ascii="Arial" w:hAnsi="Arial" w:cs="Arial"/>
          <w:sz w:val="20"/>
        </w:rPr>
        <w:t>requires</w:t>
      </w:r>
      <w:r w:rsidR="0025568C" w:rsidRPr="00C1611F">
        <w:rPr>
          <w:rFonts w:ascii="Arial" w:hAnsi="Arial" w:cs="Arial"/>
          <w:sz w:val="20"/>
        </w:rPr>
        <w:t xml:space="preserve"> State Departments receiving federal financial assistance to report any </w:t>
      </w:r>
      <w:r w:rsidR="000D384A" w:rsidRPr="00C1611F">
        <w:rPr>
          <w:rFonts w:ascii="Arial" w:hAnsi="Arial" w:cs="Arial"/>
          <w:sz w:val="20"/>
        </w:rPr>
        <w:t xml:space="preserve">official notice related to noncompliance </w:t>
      </w:r>
      <w:r w:rsidR="0025568C" w:rsidRPr="00C1611F">
        <w:rPr>
          <w:rFonts w:ascii="Arial" w:hAnsi="Arial" w:cs="Arial"/>
          <w:sz w:val="20"/>
        </w:rPr>
        <w:t>received from the Federal Awarding Agency or designated Cognizant Agency</w:t>
      </w:r>
      <w:r w:rsidR="00D92567">
        <w:rPr>
          <w:rFonts w:ascii="Arial" w:hAnsi="Arial" w:cs="Arial"/>
          <w:sz w:val="20"/>
        </w:rPr>
        <w:t>.</w:t>
      </w:r>
      <w:r w:rsidR="0025568C" w:rsidRPr="00C1611F">
        <w:rPr>
          <w:rFonts w:ascii="Arial" w:hAnsi="Arial" w:cs="Arial"/>
          <w:sz w:val="20"/>
        </w:rPr>
        <w:t xml:space="preserve"> </w:t>
      </w:r>
      <w:r w:rsidR="00D92567" w:rsidRPr="00C1611F">
        <w:rPr>
          <w:rFonts w:ascii="Arial" w:hAnsi="Arial" w:cs="Arial"/>
          <w:sz w:val="20"/>
        </w:rPr>
        <w:t>The</w:t>
      </w:r>
      <w:r w:rsidR="00D92567">
        <w:rPr>
          <w:rFonts w:ascii="Arial" w:hAnsi="Arial" w:cs="Arial"/>
          <w:sz w:val="20"/>
        </w:rPr>
        <w:t xml:space="preserve"> </w:t>
      </w:r>
      <w:r w:rsidR="00DF4E00">
        <w:rPr>
          <w:rFonts w:ascii="Arial" w:hAnsi="Arial" w:cs="Arial"/>
          <w:sz w:val="20"/>
        </w:rPr>
        <w:t>TCA</w:t>
      </w:r>
      <w:r w:rsidR="00D92567" w:rsidRPr="00C1611F">
        <w:rPr>
          <w:rFonts w:ascii="Arial" w:hAnsi="Arial" w:cs="Arial"/>
          <w:sz w:val="20"/>
        </w:rPr>
        <w:t xml:space="preserve"> </w:t>
      </w:r>
      <w:r w:rsidR="00D92567">
        <w:rPr>
          <w:rFonts w:ascii="Arial" w:hAnsi="Arial" w:cs="Arial"/>
          <w:sz w:val="20"/>
        </w:rPr>
        <w:t>DOES</w:t>
      </w:r>
      <w:r w:rsidR="00D92567" w:rsidRPr="00C1611F">
        <w:rPr>
          <w:rFonts w:ascii="Arial" w:hAnsi="Arial" w:cs="Arial"/>
          <w:sz w:val="20"/>
        </w:rPr>
        <w:t xml:space="preserve"> NOT require communication of noncompliance communicated by departmental </w:t>
      </w:r>
      <w:r>
        <w:rPr>
          <w:rFonts w:ascii="Arial" w:hAnsi="Arial" w:cs="Arial"/>
          <w:sz w:val="20"/>
        </w:rPr>
        <w:t>i</w:t>
      </w:r>
      <w:r w:rsidR="00D92567" w:rsidRPr="00C1611F">
        <w:rPr>
          <w:rFonts w:ascii="Arial" w:hAnsi="Arial" w:cs="Arial"/>
          <w:sz w:val="20"/>
        </w:rPr>
        <w:t xml:space="preserve">nternal </w:t>
      </w:r>
      <w:r>
        <w:rPr>
          <w:rFonts w:ascii="Arial" w:hAnsi="Arial" w:cs="Arial"/>
          <w:sz w:val="20"/>
        </w:rPr>
        <w:t>a</w:t>
      </w:r>
      <w:r w:rsidR="00D92567" w:rsidRPr="00C1611F">
        <w:rPr>
          <w:rFonts w:ascii="Arial" w:hAnsi="Arial" w:cs="Arial"/>
          <w:sz w:val="20"/>
        </w:rPr>
        <w:t xml:space="preserve">udit staff or </w:t>
      </w:r>
      <w:r>
        <w:rPr>
          <w:rFonts w:ascii="Arial" w:hAnsi="Arial" w:cs="Arial"/>
          <w:sz w:val="20"/>
        </w:rPr>
        <w:t xml:space="preserve">the Division of </w:t>
      </w:r>
      <w:r w:rsidR="00D92567" w:rsidRPr="00C1611F">
        <w:rPr>
          <w:rFonts w:ascii="Arial" w:hAnsi="Arial" w:cs="Arial"/>
          <w:sz w:val="20"/>
        </w:rPr>
        <w:t>State Audit</w:t>
      </w:r>
      <w:r>
        <w:rPr>
          <w:rFonts w:ascii="Arial" w:hAnsi="Arial" w:cs="Arial"/>
          <w:sz w:val="20"/>
        </w:rPr>
        <w:t>, Comptroller of the Treasury</w:t>
      </w:r>
      <w:r w:rsidR="00D92567" w:rsidRPr="00C1611F">
        <w:rPr>
          <w:rFonts w:ascii="Arial" w:hAnsi="Arial" w:cs="Arial"/>
          <w:sz w:val="20"/>
        </w:rPr>
        <w:t>.</w:t>
      </w:r>
    </w:p>
    <w:p w:rsidR="00C63407" w:rsidRDefault="00C63407" w:rsidP="008B1B93">
      <w:pPr>
        <w:pStyle w:val="ListParagraph"/>
        <w:spacing w:before="240"/>
        <w:ind w:left="270"/>
        <w:rPr>
          <w:rFonts w:ascii="Arial" w:hAnsi="Arial" w:cs="Arial"/>
          <w:sz w:val="20"/>
        </w:rPr>
      </w:pPr>
    </w:p>
    <w:p w:rsidR="00FB1A29" w:rsidRPr="00C1611F" w:rsidRDefault="00FB1A29" w:rsidP="004504AA">
      <w:pPr>
        <w:pStyle w:val="ListParagraph"/>
        <w:spacing w:before="240"/>
        <w:ind w:hanging="450"/>
        <w:rPr>
          <w:rFonts w:ascii="Arial" w:hAnsi="Arial" w:cs="Arial"/>
          <w:sz w:val="20"/>
        </w:rPr>
      </w:pPr>
    </w:p>
    <w:p w:rsidR="009F0AC5" w:rsidRDefault="00711A48" w:rsidP="00675B82">
      <w:pPr>
        <w:pStyle w:val="Heading1"/>
        <w:spacing w:before="240"/>
      </w:pPr>
      <w:r>
        <w:lastRenderedPageBreak/>
        <w:t>Notification Requirements</w:t>
      </w:r>
    </w:p>
    <w:p w:rsidR="004D5B3E" w:rsidRDefault="00B3017B" w:rsidP="00DF12F7">
      <w:pPr>
        <w:pStyle w:val="Heading3"/>
      </w:pPr>
      <w:r>
        <w:t>Notification Template</w:t>
      </w:r>
    </w:p>
    <w:p w:rsidR="00926163" w:rsidRDefault="00B3017B" w:rsidP="00357DAA">
      <w:pPr>
        <w:spacing w:before="120" w:after="0"/>
        <w:ind w:left="270"/>
        <w:rPr>
          <w:rFonts w:ascii="Arial" w:hAnsi="Arial" w:cs="Arial"/>
          <w:sz w:val="20"/>
        </w:rPr>
      </w:pPr>
      <w:r w:rsidRPr="00C1611F">
        <w:rPr>
          <w:rFonts w:ascii="Arial" w:hAnsi="Arial" w:cs="Arial"/>
          <w:sz w:val="20"/>
        </w:rPr>
        <w:t xml:space="preserve">All </w:t>
      </w:r>
      <w:r w:rsidR="003B12A6" w:rsidRPr="00C1611F">
        <w:rPr>
          <w:rFonts w:ascii="Arial" w:hAnsi="Arial" w:cs="Arial"/>
          <w:sz w:val="20"/>
        </w:rPr>
        <w:t xml:space="preserve">determinations of noncompliance received from the Federal Awarding </w:t>
      </w:r>
      <w:r w:rsidR="00357DAA">
        <w:rPr>
          <w:rFonts w:ascii="Arial" w:hAnsi="Arial" w:cs="Arial"/>
          <w:sz w:val="20"/>
        </w:rPr>
        <w:t>A</w:t>
      </w:r>
      <w:r w:rsidR="003B12A6" w:rsidRPr="00C1611F">
        <w:rPr>
          <w:rFonts w:ascii="Arial" w:hAnsi="Arial" w:cs="Arial"/>
          <w:sz w:val="20"/>
        </w:rPr>
        <w:t xml:space="preserve">gency or designated Cognizant Agency shall be reported using the Notification Template provided.  </w:t>
      </w:r>
      <w:r w:rsidR="0025568C" w:rsidRPr="00C1611F">
        <w:rPr>
          <w:rFonts w:ascii="Arial" w:hAnsi="Arial" w:cs="Arial"/>
          <w:sz w:val="20"/>
        </w:rPr>
        <w:t>This template is designed to capture relevant information necessary to determine if the fiscal impact is such that additional analysis</w:t>
      </w:r>
      <w:r w:rsidR="007E77D2" w:rsidRPr="00C1611F">
        <w:rPr>
          <w:rFonts w:ascii="Arial" w:hAnsi="Arial" w:cs="Arial"/>
          <w:sz w:val="20"/>
        </w:rPr>
        <w:t xml:space="preserve"> or documentation</w:t>
      </w:r>
      <w:r w:rsidR="0025568C" w:rsidRPr="00C1611F">
        <w:rPr>
          <w:rFonts w:ascii="Arial" w:hAnsi="Arial" w:cs="Arial"/>
          <w:sz w:val="20"/>
        </w:rPr>
        <w:t xml:space="preserve"> is needed.  If considered necessary, follow-up documentation will be requested.</w:t>
      </w:r>
      <w:r w:rsidR="009214A7">
        <w:rPr>
          <w:rFonts w:ascii="Arial" w:hAnsi="Arial" w:cs="Arial"/>
          <w:sz w:val="20"/>
        </w:rPr>
        <w:t xml:space="preserve">  Do not submit any additional documentation on notice of noncompliance unless requested.</w:t>
      </w:r>
    </w:p>
    <w:p w:rsidR="00926163" w:rsidRDefault="00926163" w:rsidP="00926163">
      <w:pPr>
        <w:spacing w:after="0"/>
        <w:ind w:left="270"/>
        <w:rPr>
          <w:rFonts w:ascii="Arial" w:hAnsi="Arial" w:cs="Arial"/>
          <w:sz w:val="20"/>
        </w:rPr>
      </w:pPr>
    </w:p>
    <w:p w:rsidR="004D5B3E" w:rsidRPr="00675B82" w:rsidRDefault="00926163" w:rsidP="00675B82">
      <w:pPr>
        <w:pStyle w:val="ListParagraph"/>
        <w:numPr>
          <w:ilvl w:val="0"/>
          <w:numId w:val="39"/>
        </w:numPr>
        <w:ind w:left="1080"/>
        <w:rPr>
          <w:rFonts w:ascii="Arial" w:hAnsi="Arial" w:cs="Arial"/>
          <w:sz w:val="20"/>
        </w:rPr>
      </w:pPr>
      <w:r w:rsidRPr="00675B82">
        <w:rPr>
          <w:rFonts w:ascii="Arial" w:hAnsi="Arial" w:cs="Arial"/>
          <w:b/>
          <w:sz w:val="20"/>
        </w:rPr>
        <w:t>Section I</w:t>
      </w:r>
      <w:r w:rsidR="00675B82">
        <w:rPr>
          <w:rFonts w:ascii="Arial" w:hAnsi="Arial" w:cs="Arial"/>
          <w:sz w:val="20"/>
        </w:rPr>
        <w:t>:</w:t>
      </w:r>
      <w:r w:rsidR="001B4BD4" w:rsidRPr="00675B82">
        <w:rPr>
          <w:rFonts w:ascii="Arial" w:hAnsi="Arial" w:cs="Arial"/>
          <w:sz w:val="20"/>
        </w:rPr>
        <w:t xml:space="preserve"> </w:t>
      </w:r>
      <w:r w:rsidRPr="00675B82">
        <w:rPr>
          <w:rFonts w:ascii="Arial" w:hAnsi="Arial" w:cs="Arial"/>
          <w:sz w:val="20"/>
        </w:rPr>
        <w:t>c</w:t>
      </w:r>
      <w:r w:rsidR="008D6EEB" w:rsidRPr="00675B82">
        <w:rPr>
          <w:rFonts w:ascii="Arial" w:hAnsi="Arial" w:cs="Arial"/>
          <w:sz w:val="20"/>
        </w:rPr>
        <w:t>ollects</w:t>
      </w:r>
      <w:r w:rsidRPr="00675B82">
        <w:rPr>
          <w:rFonts w:ascii="Arial" w:hAnsi="Arial" w:cs="Arial"/>
          <w:sz w:val="20"/>
        </w:rPr>
        <w:t xml:space="preserve"> general information regarding the agency and CFDA number impacted.  If the notification being reported is follow-up communication to a previously reported issue</w:t>
      </w:r>
      <w:r w:rsidR="00357DAA">
        <w:rPr>
          <w:rFonts w:ascii="Arial" w:hAnsi="Arial" w:cs="Arial"/>
          <w:sz w:val="20"/>
        </w:rPr>
        <w:t>,</w:t>
      </w:r>
      <w:r w:rsidRPr="00675B82">
        <w:rPr>
          <w:rFonts w:ascii="Arial" w:hAnsi="Arial" w:cs="Arial"/>
          <w:sz w:val="20"/>
        </w:rPr>
        <w:t xml:space="preserve"> that should be noted in this section.  </w:t>
      </w:r>
    </w:p>
    <w:p w:rsidR="00926163" w:rsidRDefault="00926163" w:rsidP="00675B82">
      <w:pPr>
        <w:pStyle w:val="ListParagraph"/>
        <w:numPr>
          <w:ilvl w:val="0"/>
          <w:numId w:val="39"/>
        </w:numPr>
        <w:ind w:left="1080"/>
        <w:rPr>
          <w:rFonts w:ascii="Arial" w:hAnsi="Arial" w:cs="Arial"/>
          <w:sz w:val="20"/>
        </w:rPr>
      </w:pPr>
      <w:r w:rsidRPr="00675B82">
        <w:rPr>
          <w:rFonts w:ascii="Arial" w:hAnsi="Arial" w:cs="Arial"/>
          <w:b/>
          <w:sz w:val="20"/>
        </w:rPr>
        <w:t>Section II</w:t>
      </w:r>
      <w:r w:rsidR="00675B82">
        <w:rPr>
          <w:rFonts w:ascii="Arial" w:hAnsi="Arial" w:cs="Arial"/>
          <w:sz w:val="20"/>
        </w:rPr>
        <w:t>:</w:t>
      </w:r>
      <w:r w:rsidR="008D6EEB" w:rsidRPr="00675B82">
        <w:rPr>
          <w:rFonts w:ascii="Arial" w:hAnsi="Arial" w:cs="Arial"/>
          <w:sz w:val="20"/>
        </w:rPr>
        <w:t xml:space="preserve"> collects </w:t>
      </w:r>
      <w:r w:rsidR="00675B82">
        <w:rPr>
          <w:rFonts w:ascii="Arial" w:hAnsi="Arial" w:cs="Arial"/>
          <w:sz w:val="20"/>
        </w:rPr>
        <w:t xml:space="preserve">information </w:t>
      </w:r>
      <w:r w:rsidR="008D6EEB" w:rsidRPr="00675B82">
        <w:rPr>
          <w:rFonts w:ascii="Arial" w:hAnsi="Arial" w:cs="Arial"/>
          <w:sz w:val="20"/>
        </w:rPr>
        <w:t xml:space="preserve">regarding the </w:t>
      </w:r>
      <w:r w:rsidR="00675B82">
        <w:rPr>
          <w:rFonts w:ascii="Arial" w:hAnsi="Arial" w:cs="Arial"/>
          <w:sz w:val="20"/>
        </w:rPr>
        <w:t xml:space="preserve">form of </w:t>
      </w:r>
      <w:r w:rsidR="008D6EEB" w:rsidRPr="00675B82">
        <w:rPr>
          <w:rFonts w:ascii="Arial" w:hAnsi="Arial" w:cs="Arial"/>
          <w:sz w:val="20"/>
        </w:rPr>
        <w:t xml:space="preserve">communication and the noncompliance cited by the reporting Federal Agency.  A brief summary of the noncompliance or deficiency as well as the cause should be included.  All possible effects of the instance of noncompliance should be marked.  </w:t>
      </w:r>
    </w:p>
    <w:p w:rsidR="0062118A" w:rsidRDefault="0062118A" w:rsidP="0062118A">
      <w:pPr>
        <w:pStyle w:val="ListParagraph"/>
        <w:numPr>
          <w:ilvl w:val="1"/>
          <w:numId w:val="39"/>
        </w:numPr>
        <w:rPr>
          <w:rFonts w:ascii="Arial" w:hAnsi="Arial" w:cs="Arial"/>
          <w:sz w:val="20"/>
        </w:rPr>
      </w:pPr>
      <w:r>
        <w:rPr>
          <w:rFonts w:ascii="Arial" w:hAnsi="Arial" w:cs="Arial"/>
          <w:b/>
          <w:sz w:val="20"/>
        </w:rPr>
        <w:t>Federal Awarding Entity Providing Notification</w:t>
      </w:r>
      <w:r w:rsidRPr="0062118A">
        <w:rPr>
          <w:rFonts w:ascii="Arial" w:hAnsi="Arial" w:cs="Arial"/>
          <w:sz w:val="20"/>
        </w:rPr>
        <w:t>:</w:t>
      </w:r>
      <w:r>
        <w:rPr>
          <w:rFonts w:ascii="Arial" w:hAnsi="Arial" w:cs="Arial"/>
          <w:sz w:val="20"/>
        </w:rPr>
        <w:t xml:space="preserve">  Select from the dropdown list the relationship the notifying Federal Agency has with the State Agency.</w:t>
      </w:r>
      <w:r w:rsidR="009214A7">
        <w:rPr>
          <w:rFonts w:ascii="Arial" w:hAnsi="Arial" w:cs="Arial"/>
          <w:sz w:val="20"/>
        </w:rPr>
        <w:t xml:space="preserve"> (i.e. Cognizant Agency, Federal Awarding Agency, or Other)</w:t>
      </w:r>
    </w:p>
    <w:p w:rsidR="0062118A" w:rsidRPr="00675B82" w:rsidRDefault="0062118A" w:rsidP="0062118A">
      <w:pPr>
        <w:pStyle w:val="ListParagraph"/>
        <w:numPr>
          <w:ilvl w:val="1"/>
          <w:numId w:val="39"/>
        </w:numPr>
        <w:rPr>
          <w:rFonts w:ascii="Arial" w:hAnsi="Arial" w:cs="Arial"/>
          <w:sz w:val="20"/>
        </w:rPr>
      </w:pPr>
      <w:r>
        <w:rPr>
          <w:rFonts w:ascii="Arial" w:hAnsi="Arial" w:cs="Arial"/>
          <w:b/>
          <w:sz w:val="20"/>
        </w:rPr>
        <w:t>Name of Reporting Federal Agency</w:t>
      </w:r>
      <w:r w:rsidRPr="0062118A">
        <w:rPr>
          <w:rFonts w:ascii="Arial" w:hAnsi="Arial" w:cs="Arial"/>
          <w:sz w:val="20"/>
        </w:rPr>
        <w:t>:</w:t>
      </w:r>
      <w:r>
        <w:rPr>
          <w:rFonts w:ascii="Arial" w:hAnsi="Arial" w:cs="Arial"/>
          <w:sz w:val="20"/>
        </w:rPr>
        <w:t xml:space="preserve">  Provide the name of the Federal Agency provid</w:t>
      </w:r>
      <w:r w:rsidR="00E43ED5">
        <w:rPr>
          <w:rFonts w:ascii="Arial" w:hAnsi="Arial" w:cs="Arial"/>
          <w:sz w:val="20"/>
        </w:rPr>
        <w:t>ing</w:t>
      </w:r>
      <w:r>
        <w:rPr>
          <w:rFonts w:ascii="Arial" w:hAnsi="Arial" w:cs="Arial"/>
          <w:sz w:val="20"/>
        </w:rPr>
        <w:t xml:space="preserve"> the notification of noncompliance.</w:t>
      </w:r>
    </w:p>
    <w:p w:rsidR="00926163" w:rsidRPr="00675B82" w:rsidRDefault="00926163" w:rsidP="00675B82">
      <w:pPr>
        <w:pStyle w:val="ListParagraph"/>
        <w:numPr>
          <w:ilvl w:val="0"/>
          <w:numId w:val="39"/>
        </w:numPr>
        <w:ind w:left="1080"/>
        <w:rPr>
          <w:rFonts w:ascii="Arial" w:hAnsi="Arial" w:cs="Arial"/>
          <w:sz w:val="20"/>
        </w:rPr>
      </w:pPr>
      <w:r w:rsidRPr="00675B82">
        <w:rPr>
          <w:rFonts w:ascii="Arial" w:hAnsi="Arial" w:cs="Arial"/>
          <w:b/>
          <w:sz w:val="20"/>
        </w:rPr>
        <w:t>Section III</w:t>
      </w:r>
      <w:r w:rsidR="00675B82">
        <w:rPr>
          <w:rFonts w:ascii="Arial" w:hAnsi="Arial" w:cs="Arial"/>
          <w:sz w:val="20"/>
        </w:rPr>
        <w:t>:</w:t>
      </w:r>
      <w:r w:rsidR="008D6EEB" w:rsidRPr="00675B82">
        <w:rPr>
          <w:rFonts w:ascii="Arial" w:hAnsi="Arial" w:cs="Arial"/>
          <w:sz w:val="20"/>
        </w:rPr>
        <w:t xml:space="preserve"> collects information on agency plans for determining immediate and long-term corrective action.  </w:t>
      </w:r>
      <w:r w:rsidR="00A87FB6" w:rsidRPr="00675B82">
        <w:rPr>
          <w:rFonts w:ascii="Arial" w:hAnsi="Arial" w:cs="Arial"/>
          <w:sz w:val="20"/>
        </w:rPr>
        <w:t xml:space="preserve">The content of this section will vary depending on the stage of communication and noncompliance issue cited.  In other words, upon receiving initial notification, details in this section will most likely be high level brief statements, but as subsequent communication is received, </w:t>
      </w:r>
      <w:r w:rsidR="0014699C">
        <w:rPr>
          <w:rFonts w:ascii="Arial" w:hAnsi="Arial" w:cs="Arial"/>
          <w:sz w:val="20"/>
        </w:rPr>
        <w:t>th</w:t>
      </w:r>
      <w:r w:rsidR="00357DAA">
        <w:rPr>
          <w:rFonts w:ascii="Arial" w:hAnsi="Arial" w:cs="Arial"/>
          <w:sz w:val="20"/>
        </w:rPr>
        <w:t>e</w:t>
      </w:r>
      <w:r w:rsidR="0014699C">
        <w:rPr>
          <w:rFonts w:ascii="Arial" w:hAnsi="Arial" w:cs="Arial"/>
          <w:sz w:val="20"/>
        </w:rPr>
        <w:t xml:space="preserve"> content of th</w:t>
      </w:r>
      <w:r w:rsidR="00357DAA">
        <w:rPr>
          <w:rFonts w:ascii="Arial" w:hAnsi="Arial" w:cs="Arial"/>
          <w:sz w:val="20"/>
        </w:rPr>
        <w:t>is</w:t>
      </w:r>
      <w:r w:rsidR="0014699C">
        <w:rPr>
          <w:rFonts w:ascii="Arial" w:hAnsi="Arial" w:cs="Arial"/>
          <w:sz w:val="20"/>
        </w:rPr>
        <w:t xml:space="preserve"> section</w:t>
      </w:r>
      <w:r w:rsidR="00A87FB6" w:rsidRPr="00675B82">
        <w:rPr>
          <w:rFonts w:ascii="Arial" w:hAnsi="Arial" w:cs="Arial"/>
          <w:sz w:val="20"/>
        </w:rPr>
        <w:t xml:space="preserve"> will become more specific and detailed.  A formal corrective action plan is not expected to be included with the submission of the notification of noncompliance.</w:t>
      </w:r>
    </w:p>
    <w:p w:rsidR="00086E60" w:rsidRPr="009214A7" w:rsidRDefault="00926163" w:rsidP="00675B82">
      <w:pPr>
        <w:pStyle w:val="ListParagraph"/>
        <w:numPr>
          <w:ilvl w:val="0"/>
          <w:numId w:val="39"/>
        </w:numPr>
        <w:ind w:left="1080"/>
      </w:pPr>
      <w:r w:rsidRPr="009214A7">
        <w:rPr>
          <w:rFonts w:ascii="Arial" w:hAnsi="Arial" w:cs="Arial"/>
          <w:b/>
          <w:sz w:val="20"/>
        </w:rPr>
        <w:t>Section IV</w:t>
      </w:r>
      <w:r w:rsidR="00675B82" w:rsidRPr="009214A7">
        <w:rPr>
          <w:rFonts w:ascii="Arial" w:hAnsi="Arial" w:cs="Arial"/>
          <w:sz w:val="20"/>
        </w:rPr>
        <w:t>:</w:t>
      </w:r>
      <w:r w:rsidR="00A87FB6" w:rsidRPr="009214A7">
        <w:rPr>
          <w:rFonts w:ascii="Arial" w:hAnsi="Arial" w:cs="Arial"/>
          <w:sz w:val="20"/>
        </w:rPr>
        <w:t xml:space="preserve"> </w:t>
      </w:r>
      <w:r w:rsidR="009214A7">
        <w:rPr>
          <w:rFonts w:ascii="Arial" w:hAnsi="Arial" w:cs="Arial"/>
          <w:sz w:val="20"/>
        </w:rPr>
        <w:t>provide the name, title, and contact information of the reporting individual as well as the name of the Chief Financial Officer.</w:t>
      </w:r>
    </w:p>
    <w:p w:rsidR="00A12E4F" w:rsidRDefault="00B3017B" w:rsidP="00A12E4F">
      <w:pPr>
        <w:pStyle w:val="Heading3"/>
      </w:pPr>
      <w:r>
        <w:t>Timing of Notification</w:t>
      </w:r>
    </w:p>
    <w:p w:rsidR="00DF67F7" w:rsidRPr="00C1611F" w:rsidRDefault="003B12A6" w:rsidP="00675B82">
      <w:pPr>
        <w:spacing w:before="120"/>
        <w:ind w:left="288"/>
        <w:rPr>
          <w:rFonts w:ascii="Arial" w:hAnsi="Arial" w:cs="Arial"/>
          <w:sz w:val="20"/>
        </w:rPr>
      </w:pPr>
      <w:r w:rsidRPr="00C1611F">
        <w:rPr>
          <w:rFonts w:ascii="Arial" w:hAnsi="Arial" w:cs="Arial"/>
          <w:sz w:val="20"/>
        </w:rPr>
        <w:t xml:space="preserve">The </w:t>
      </w:r>
      <w:r w:rsidR="00DF67F7" w:rsidRPr="00C1611F">
        <w:rPr>
          <w:rFonts w:ascii="Arial" w:hAnsi="Arial" w:cs="Arial"/>
          <w:sz w:val="20"/>
        </w:rPr>
        <w:t>Notification</w:t>
      </w:r>
      <w:r w:rsidRPr="00C1611F">
        <w:rPr>
          <w:rFonts w:ascii="Arial" w:hAnsi="Arial" w:cs="Arial"/>
          <w:sz w:val="20"/>
        </w:rPr>
        <w:t xml:space="preserve"> Template shall be submitted within five (5) business days from the receipt </w:t>
      </w:r>
      <w:r w:rsidR="00357DAA">
        <w:rPr>
          <w:rFonts w:ascii="Arial" w:hAnsi="Arial" w:cs="Arial"/>
          <w:sz w:val="20"/>
        </w:rPr>
        <w:t>by</w:t>
      </w:r>
      <w:r w:rsidRPr="00C1611F">
        <w:rPr>
          <w:rFonts w:ascii="Arial" w:hAnsi="Arial" w:cs="Arial"/>
          <w:sz w:val="20"/>
        </w:rPr>
        <w:t xml:space="preserve"> the department’s </w:t>
      </w:r>
      <w:r w:rsidR="006B1864">
        <w:rPr>
          <w:rFonts w:ascii="Arial" w:hAnsi="Arial" w:cs="Arial"/>
          <w:sz w:val="20"/>
        </w:rPr>
        <w:t>C</w:t>
      </w:r>
      <w:r w:rsidRPr="00C1611F">
        <w:rPr>
          <w:rFonts w:ascii="Arial" w:hAnsi="Arial" w:cs="Arial"/>
          <w:sz w:val="20"/>
        </w:rPr>
        <w:t xml:space="preserve">ommissioner, </w:t>
      </w:r>
      <w:r w:rsidR="006B1864">
        <w:rPr>
          <w:rFonts w:ascii="Arial" w:hAnsi="Arial" w:cs="Arial"/>
          <w:sz w:val="20"/>
        </w:rPr>
        <w:t>C</w:t>
      </w:r>
      <w:r w:rsidRPr="00C1611F">
        <w:rPr>
          <w:rFonts w:ascii="Arial" w:hAnsi="Arial" w:cs="Arial"/>
          <w:sz w:val="20"/>
        </w:rPr>
        <w:t xml:space="preserve">hief </w:t>
      </w:r>
      <w:r w:rsidR="006B1864">
        <w:rPr>
          <w:rFonts w:ascii="Arial" w:hAnsi="Arial" w:cs="Arial"/>
          <w:sz w:val="20"/>
        </w:rPr>
        <w:t>F</w:t>
      </w:r>
      <w:r w:rsidRPr="00C1611F">
        <w:rPr>
          <w:rFonts w:ascii="Arial" w:hAnsi="Arial" w:cs="Arial"/>
          <w:sz w:val="20"/>
        </w:rPr>
        <w:t xml:space="preserve">inancial </w:t>
      </w:r>
      <w:r w:rsidR="006B1864">
        <w:rPr>
          <w:rFonts w:ascii="Arial" w:hAnsi="Arial" w:cs="Arial"/>
          <w:sz w:val="20"/>
        </w:rPr>
        <w:t>O</w:t>
      </w:r>
      <w:r w:rsidRPr="00C1611F">
        <w:rPr>
          <w:rFonts w:ascii="Arial" w:hAnsi="Arial" w:cs="Arial"/>
          <w:sz w:val="20"/>
        </w:rPr>
        <w:t xml:space="preserve">fficer, or equivalent.  In the event official notice is received by departmental staff, notice shall be transmitted to the department’s </w:t>
      </w:r>
      <w:r w:rsidR="006B1864">
        <w:rPr>
          <w:rFonts w:ascii="Arial" w:hAnsi="Arial" w:cs="Arial"/>
          <w:sz w:val="20"/>
        </w:rPr>
        <w:t>C</w:t>
      </w:r>
      <w:r w:rsidRPr="00C1611F">
        <w:rPr>
          <w:rFonts w:ascii="Arial" w:hAnsi="Arial" w:cs="Arial"/>
          <w:sz w:val="20"/>
        </w:rPr>
        <w:t xml:space="preserve">ommissioner, </w:t>
      </w:r>
      <w:r w:rsidR="006B1864">
        <w:rPr>
          <w:rFonts w:ascii="Arial" w:hAnsi="Arial" w:cs="Arial"/>
          <w:sz w:val="20"/>
        </w:rPr>
        <w:t>C</w:t>
      </w:r>
      <w:r w:rsidRPr="00C1611F">
        <w:rPr>
          <w:rFonts w:ascii="Arial" w:hAnsi="Arial" w:cs="Arial"/>
          <w:sz w:val="20"/>
        </w:rPr>
        <w:t xml:space="preserve">hief </w:t>
      </w:r>
      <w:r w:rsidR="006B1864">
        <w:rPr>
          <w:rFonts w:ascii="Arial" w:hAnsi="Arial" w:cs="Arial"/>
          <w:sz w:val="20"/>
        </w:rPr>
        <w:t>F</w:t>
      </w:r>
      <w:r w:rsidRPr="00C1611F">
        <w:rPr>
          <w:rFonts w:ascii="Arial" w:hAnsi="Arial" w:cs="Arial"/>
          <w:sz w:val="20"/>
        </w:rPr>
        <w:t xml:space="preserve">inancial </w:t>
      </w:r>
      <w:r w:rsidR="006B1864">
        <w:rPr>
          <w:rFonts w:ascii="Arial" w:hAnsi="Arial" w:cs="Arial"/>
          <w:sz w:val="20"/>
        </w:rPr>
        <w:t>O</w:t>
      </w:r>
      <w:r w:rsidRPr="00C1611F">
        <w:rPr>
          <w:rFonts w:ascii="Arial" w:hAnsi="Arial" w:cs="Arial"/>
          <w:sz w:val="20"/>
        </w:rPr>
        <w:t xml:space="preserve">fficer, or equivalent within five (5) business days of receipt.  </w:t>
      </w:r>
      <w:r w:rsidR="00DF67F7" w:rsidRPr="00C1611F">
        <w:rPr>
          <w:rFonts w:ascii="Arial" w:hAnsi="Arial" w:cs="Arial"/>
          <w:sz w:val="20"/>
        </w:rPr>
        <w:t xml:space="preserve"> </w:t>
      </w:r>
      <w:r w:rsidR="006B4D57">
        <w:rPr>
          <w:rFonts w:ascii="Arial" w:hAnsi="Arial" w:cs="Arial"/>
          <w:sz w:val="20"/>
        </w:rPr>
        <w:t>Upon receipt from the departmental staff, t</w:t>
      </w:r>
      <w:r w:rsidR="007E77D2" w:rsidRPr="00C1611F">
        <w:rPr>
          <w:rFonts w:ascii="Arial" w:hAnsi="Arial" w:cs="Arial"/>
          <w:sz w:val="20"/>
        </w:rPr>
        <w:t xml:space="preserve">he </w:t>
      </w:r>
      <w:r w:rsidR="006B1864">
        <w:rPr>
          <w:rFonts w:ascii="Arial" w:hAnsi="Arial" w:cs="Arial"/>
          <w:sz w:val="20"/>
        </w:rPr>
        <w:t>C</w:t>
      </w:r>
      <w:r w:rsidR="007E77D2" w:rsidRPr="00C1611F">
        <w:rPr>
          <w:rFonts w:ascii="Arial" w:hAnsi="Arial" w:cs="Arial"/>
          <w:sz w:val="20"/>
        </w:rPr>
        <w:t xml:space="preserve">ommissioner, </w:t>
      </w:r>
      <w:r w:rsidR="006B1864">
        <w:rPr>
          <w:rFonts w:ascii="Arial" w:hAnsi="Arial" w:cs="Arial"/>
          <w:sz w:val="20"/>
        </w:rPr>
        <w:t>C</w:t>
      </w:r>
      <w:r w:rsidR="007E77D2" w:rsidRPr="00C1611F">
        <w:rPr>
          <w:rFonts w:ascii="Arial" w:hAnsi="Arial" w:cs="Arial"/>
          <w:sz w:val="20"/>
        </w:rPr>
        <w:t xml:space="preserve">hief </w:t>
      </w:r>
      <w:r w:rsidR="006B1864">
        <w:rPr>
          <w:rFonts w:ascii="Arial" w:hAnsi="Arial" w:cs="Arial"/>
          <w:sz w:val="20"/>
        </w:rPr>
        <w:t>F</w:t>
      </w:r>
      <w:r w:rsidR="007E77D2" w:rsidRPr="00C1611F">
        <w:rPr>
          <w:rFonts w:ascii="Arial" w:hAnsi="Arial" w:cs="Arial"/>
          <w:sz w:val="20"/>
        </w:rPr>
        <w:t xml:space="preserve">inancial </w:t>
      </w:r>
      <w:r w:rsidR="006B1864">
        <w:rPr>
          <w:rFonts w:ascii="Arial" w:hAnsi="Arial" w:cs="Arial"/>
          <w:sz w:val="20"/>
        </w:rPr>
        <w:t>O</w:t>
      </w:r>
      <w:r w:rsidR="007E77D2" w:rsidRPr="00C1611F">
        <w:rPr>
          <w:rFonts w:ascii="Arial" w:hAnsi="Arial" w:cs="Arial"/>
          <w:sz w:val="20"/>
        </w:rPr>
        <w:t>fficer, or equivalent has five (5) business days to submit the notification.</w:t>
      </w:r>
    </w:p>
    <w:p w:rsidR="00A12E4F" w:rsidRDefault="00711A48" w:rsidP="00A12E4F">
      <w:pPr>
        <w:pStyle w:val="Heading3"/>
      </w:pPr>
      <w:r>
        <w:t xml:space="preserve">Notification </w:t>
      </w:r>
      <w:r w:rsidR="00B3017B">
        <w:t>Submission</w:t>
      </w:r>
    </w:p>
    <w:p w:rsidR="00B3017B" w:rsidRPr="00C1611F" w:rsidRDefault="009214A7" w:rsidP="00675B82">
      <w:pPr>
        <w:spacing w:before="120"/>
        <w:ind w:left="288"/>
        <w:rPr>
          <w:rFonts w:ascii="Arial" w:hAnsi="Arial" w:cs="Arial"/>
          <w:sz w:val="20"/>
        </w:rPr>
      </w:pPr>
      <w:r>
        <w:rPr>
          <w:rFonts w:ascii="Arial" w:hAnsi="Arial" w:cs="Arial"/>
          <w:sz w:val="20"/>
        </w:rPr>
        <w:t>When submitted, t</w:t>
      </w:r>
      <w:r w:rsidR="0025568C" w:rsidRPr="00C1611F">
        <w:rPr>
          <w:rFonts w:ascii="Arial" w:hAnsi="Arial" w:cs="Arial"/>
          <w:sz w:val="20"/>
        </w:rPr>
        <w:t xml:space="preserve">he </w:t>
      </w:r>
      <w:r w:rsidR="00B3017B" w:rsidRPr="00C1611F">
        <w:rPr>
          <w:rFonts w:ascii="Arial" w:hAnsi="Arial" w:cs="Arial"/>
          <w:sz w:val="20"/>
        </w:rPr>
        <w:t xml:space="preserve">Notification </w:t>
      </w:r>
      <w:r w:rsidR="0025568C" w:rsidRPr="00C1611F">
        <w:rPr>
          <w:rFonts w:ascii="Arial" w:hAnsi="Arial" w:cs="Arial"/>
          <w:sz w:val="20"/>
        </w:rPr>
        <w:t>Template</w:t>
      </w:r>
      <w:r>
        <w:rPr>
          <w:rFonts w:ascii="Arial" w:hAnsi="Arial" w:cs="Arial"/>
          <w:sz w:val="20"/>
        </w:rPr>
        <w:t xml:space="preserve"> is designed to automatically send the required communication</w:t>
      </w:r>
      <w:r w:rsidR="00B3017B" w:rsidRPr="00C1611F">
        <w:rPr>
          <w:rFonts w:ascii="Arial" w:hAnsi="Arial" w:cs="Arial"/>
          <w:sz w:val="20"/>
        </w:rPr>
        <w:t xml:space="preserve"> to the Comptroller of the Treasury and the Department of Finance and Administration</w:t>
      </w:r>
      <w:r w:rsidR="009674F1">
        <w:rPr>
          <w:rFonts w:ascii="Arial" w:hAnsi="Arial" w:cs="Arial"/>
          <w:sz w:val="20"/>
        </w:rPr>
        <w:t xml:space="preserve"> using the e-mail addresses listed below</w:t>
      </w:r>
      <w:r w:rsidR="00B3017B" w:rsidRPr="00C1611F">
        <w:rPr>
          <w:rFonts w:ascii="Arial" w:hAnsi="Arial" w:cs="Arial"/>
          <w:sz w:val="20"/>
        </w:rPr>
        <w:t>.</w:t>
      </w:r>
      <w:r w:rsidR="009674F1">
        <w:rPr>
          <w:rFonts w:ascii="Arial" w:hAnsi="Arial" w:cs="Arial"/>
          <w:sz w:val="20"/>
        </w:rPr>
        <w:t xml:space="preserve">  In the event the Notification Template must be submitted manually, the completed from should be </w:t>
      </w:r>
      <w:r w:rsidR="00B3017B" w:rsidRPr="00C1611F">
        <w:rPr>
          <w:rFonts w:ascii="Arial" w:hAnsi="Arial" w:cs="Arial"/>
          <w:sz w:val="20"/>
        </w:rPr>
        <w:t>submitted electronically to the following:</w:t>
      </w:r>
      <w:bookmarkStart w:id="1" w:name="_GoBack"/>
      <w:bookmarkEnd w:id="1"/>
    </w:p>
    <w:p w:rsidR="00B3017B" w:rsidRPr="00C1611F" w:rsidRDefault="00B3017B" w:rsidP="00B3017B">
      <w:pPr>
        <w:pStyle w:val="ListParagraph"/>
        <w:numPr>
          <w:ilvl w:val="0"/>
          <w:numId w:val="36"/>
        </w:numPr>
        <w:spacing w:before="240"/>
        <w:rPr>
          <w:rFonts w:ascii="Arial" w:hAnsi="Arial" w:cs="Arial"/>
          <w:sz w:val="20"/>
        </w:rPr>
      </w:pPr>
      <w:r w:rsidRPr="00C1611F">
        <w:rPr>
          <w:rFonts w:ascii="Arial" w:hAnsi="Arial" w:cs="Arial"/>
          <w:sz w:val="20"/>
        </w:rPr>
        <w:t xml:space="preserve">Comptroller of the Treasury -  </w:t>
      </w:r>
      <w:hyperlink r:id="rId11" w:history="1">
        <w:r w:rsidRPr="00C1611F">
          <w:rPr>
            <w:rStyle w:val="Hyperlink"/>
            <w:rFonts w:ascii="Arial" w:hAnsi="Arial" w:cs="Arial"/>
            <w:sz w:val="20"/>
          </w:rPr>
          <w:t>Comptroller.State.Audit@cot.tn.gov</w:t>
        </w:r>
      </w:hyperlink>
    </w:p>
    <w:p w:rsidR="00B3017B" w:rsidRPr="00C1611F" w:rsidRDefault="00B3017B" w:rsidP="00B3017B">
      <w:pPr>
        <w:pStyle w:val="ListParagraph"/>
        <w:numPr>
          <w:ilvl w:val="0"/>
          <w:numId w:val="36"/>
        </w:numPr>
        <w:spacing w:before="240"/>
        <w:rPr>
          <w:rFonts w:ascii="Arial" w:hAnsi="Arial" w:cs="Arial"/>
          <w:sz w:val="20"/>
        </w:rPr>
      </w:pPr>
      <w:r w:rsidRPr="00C1611F">
        <w:rPr>
          <w:rFonts w:ascii="Arial" w:hAnsi="Arial" w:cs="Arial"/>
          <w:sz w:val="20"/>
        </w:rPr>
        <w:t>Department of Finance and Administration</w:t>
      </w:r>
      <w:r w:rsidR="009674F1">
        <w:rPr>
          <w:rFonts w:ascii="Arial" w:hAnsi="Arial" w:cs="Arial"/>
          <w:sz w:val="20"/>
        </w:rPr>
        <w:t xml:space="preserve"> – </w:t>
      </w:r>
      <w:hyperlink r:id="rId12" w:history="1">
        <w:r w:rsidR="009674F1" w:rsidRPr="002B35D3">
          <w:rPr>
            <w:rStyle w:val="Hyperlink"/>
            <w:rFonts w:ascii="Arial" w:hAnsi="Arial" w:cs="Arial"/>
            <w:sz w:val="20"/>
          </w:rPr>
          <w:t>Jeong.Robinson@tn.gov</w:t>
        </w:r>
      </w:hyperlink>
      <w:r w:rsidR="009674F1">
        <w:rPr>
          <w:rFonts w:ascii="Arial" w:hAnsi="Arial" w:cs="Arial"/>
          <w:sz w:val="20"/>
        </w:rPr>
        <w:t xml:space="preserve"> </w:t>
      </w:r>
      <w:r w:rsidRPr="00C1611F">
        <w:rPr>
          <w:rFonts w:ascii="Arial" w:hAnsi="Arial" w:cs="Arial"/>
          <w:sz w:val="20"/>
        </w:rPr>
        <w:t xml:space="preserve"> </w:t>
      </w:r>
    </w:p>
    <w:p w:rsidR="001A3C09" w:rsidRDefault="00711A48" w:rsidP="00675B82">
      <w:pPr>
        <w:pStyle w:val="Heading1"/>
        <w:spacing w:before="240"/>
      </w:pPr>
      <w:r>
        <w:t>Follow-up Requirements</w:t>
      </w:r>
    </w:p>
    <w:p w:rsidR="00C83923" w:rsidRPr="00C1611F" w:rsidRDefault="007E77D2" w:rsidP="00675B82">
      <w:pPr>
        <w:spacing w:before="120"/>
        <w:ind w:left="288"/>
        <w:rPr>
          <w:rFonts w:ascii="Arial" w:hAnsi="Arial" w:cs="Arial"/>
          <w:sz w:val="20"/>
        </w:rPr>
      </w:pPr>
      <w:r w:rsidRPr="00C1611F">
        <w:rPr>
          <w:rFonts w:ascii="Arial" w:eastAsiaTheme="majorEastAsia" w:hAnsi="Arial" w:cs="Arial"/>
          <w:bCs/>
          <w:sz w:val="20"/>
        </w:rPr>
        <w:t xml:space="preserve">The Comptroller of the Treasury and Commissioner of Finance and Administration reserve </w:t>
      </w:r>
      <w:r w:rsidR="00C1611F" w:rsidRPr="00C1611F">
        <w:rPr>
          <w:rFonts w:ascii="Arial" w:eastAsiaTheme="majorEastAsia" w:hAnsi="Arial" w:cs="Arial"/>
          <w:bCs/>
          <w:sz w:val="20"/>
        </w:rPr>
        <w:t xml:space="preserve">the right to request additional documentation and follow-up communication </w:t>
      </w:r>
      <w:r w:rsidR="00C1611F">
        <w:rPr>
          <w:rFonts w:ascii="Arial" w:eastAsiaTheme="majorEastAsia" w:hAnsi="Arial" w:cs="Arial"/>
          <w:bCs/>
          <w:sz w:val="20"/>
        </w:rPr>
        <w:t>for</w:t>
      </w:r>
      <w:r w:rsidR="00C1611F" w:rsidRPr="00C1611F">
        <w:rPr>
          <w:rFonts w:ascii="Arial" w:eastAsiaTheme="majorEastAsia" w:hAnsi="Arial" w:cs="Arial"/>
          <w:bCs/>
          <w:sz w:val="20"/>
        </w:rPr>
        <w:t xml:space="preserve"> any notification of noncompliance </w:t>
      </w:r>
      <w:r w:rsidR="00C1611F" w:rsidRPr="00C1611F">
        <w:rPr>
          <w:rFonts w:ascii="Arial" w:eastAsiaTheme="majorEastAsia" w:hAnsi="Arial" w:cs="Arial"/>
          <w:bCs/>
          <w:sz w:val="20"/>
        </w:rPr>
        <w:lastRenderedPageBreak/>
        <w:t xml:space="preserve">received.  </w:t>
      </w:r>
      <w:r w:rsidR="004504AA">
        <w:rPr>
          <w:rFonts w:ascii="Arial" w:eastAsiaTheme="majorEastAsia" w:hAnsi="Arial" w:cs="Arial"/>
          <w:bCs/>
          <w:sz w:val="20"/>
        </w:rPr>
        <w:t xml:space="preserve">The department’s </w:t>
      </w:r>
      <w:r w:rsidR="00280BF2">
        <w:rPr>
          <w:rFonts w:ascii="Arial" w:eastAsiaTheme="majorEastAsia" w:hAnsi="Arial" w:cs="Arial"/>
          <w:bCs/>
          <w:sz w:val="20"/>
        </w:rPr>
        <w:t>C</w:t>
      </w:r>
      <w:r w:rsidR="004504AA">
        <w:rPr>
          <w:rFonts w:ascii="Arial" w:eastAsiaTheme="majorEastAsia" w:hAnsi="Arial" w:cs="Arial"/>
          <w:bCs/>
          <w:sz w:val="20"/>
        </w:rPr>
        <w:t xml:space="preserve">ommissioner, </w:t>
      </w:r>
      <w:r w:rsidR="00280BF2">
        <w:rPr>
          <w:rFonts w:ascii="Arial" w:eastAsiaTheme="majorEastAsia" w:hAnsi="Arial" w:cs="Arial"/>
          <w:bCs/>
          <w:sz w:val="20"/>
        </w:rPr>
        <w:t>C</w:t>
      </w:r>
      <w:r w:rsidR="004504AA">
        <w:rPr>
          <w:rFonts w:ascii="Arial" w:eastAsiaTheme="majorEastAsia" w:hAnsi="Arial" w:cs="Arial"/>
          <w:bCs/>
          <w:sz w:val="20"/>
        </w:rPr>
        <w:t xml:space="preserve">hief </w:t>
      </w:r>
      <w:r w:rsidR="00280BF2">
        <w:rPr>
          <w:rFonts w:ascii="Arial" w:eastAsiaTheme="majorEastAsia" w:hAnsi="Arial" w:cs="Arial"/>
          <w:bCs/>
          <w:sz w:val="20"/>
        </w:rPr>
        <w:t>F</w:t>
      </w:r>
      <w:r w:rsidR="004504AA">
        <w:rPr>
          <w:rFonts w:ascii="Arial" w:eastAsiaTheme="majorEastAsia" w:hAnsi="Arial" w:cs="Arial"/>
          <w:bCs/>
          <w:sz w:val="20"/>
        </w:rPr>
        <w:t xml:space="preserve">inancial </w:t>
      </w:r>
      <w:r w:rsidR="00280BF2">
        <w:rPr>
          <w:rFonts w:ascii="Arial" w:eastAsiaTheme="majorEastAsia" w:hAnsi="Arial" w:cs="Arial"/>
          <w:bCs/>
          <w:sz w:val="20"/>
        </w:rPr>
        <w:t>O</w:t>
      </w:r>
      <w:r w:rsidR="004504AA">
        <w:rPr>
          <w:rFonts w:ascii="Arial" w:eastAsiaTheme="majorEastAsia" w:hAnsi="Arial" w:cs="Arial"/>
          <w:bCs/>
          <w:sz w:val="20"/>
        </w:rPr>
        <w:t xml:space="preserve">fficer, or equivalent shall fully cooperate in providing the documentation within the timeframe established by the requesting party.  </w:t>
      </w:r>
    </w:p>
    <w:p w:rsidR="00A230F0" w:rsidRPr="00A230F0" w:rsidRDefault="00A230F0" w:rsidP="00675B82">
      <w:pPr>
        <w:spacing w:before="240"/>
        <w:ind w:left="288"/>
      </w:pPr>
    </w:p>
    <w:sectPr w:rsidR="00A230F0" w:rsidRPr="00A230F0" w:rsidSect="00675B82">
      <w:footerReference w:type="default" r:id="rId13"/>
      <w:pgSz w:w="12240" w:h="15840"/>
      <w:pgMar w:top="1296" w:right="1440" w:bottom="1296"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E3" w:rsidRDefault="00B563E3" w:rsidP="00151018">
      <w:pPr>
        <w:spacing w:after="0" w:line="240" w:lineRule="auto"/>
      </w:pPr>
      <w:r>
        <w:separator/>
      </w:r>
    </w:p>
  </w:endnote>
  <w:endnote w:type="continuationSeparator" w:id="0">
    <w:p w:rsidR="00B563E3" w:rsidRDefault="00B563E3" w:rsidP="001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23979"/>
      <w:docPartObj>
        <w:docPartGallery w:val="Page Numbers (Bottom of Page)"/>
        <w:docPartUnique/>
      </w:docPartObj>
    </w:sdtPr>
    <w:sdtEndPr>
      <w:rPr>
        <w:noProof/>
      </w:rPr>
    </w:sdtEndPr>
    <w:sdtContent>
      <w:p w:rsidR="00B563E3" w:rsidRDefault="00B563E3">
        <w:pPr>
          <w:pStyle w:val="Footer"/>
        </w:pPr>
        <w:r>
          <w:t xml:space="preserve">Page | </w:t>
        </w:r>
        <w:r>
          <w:fldChar w:fldCharType="begin"/>
        </w:r>
        <w:r>
          <w:instrText xml:space="preserve"> PAGE   \* MERGEFORMAT </w:instrText>
        </w:r>
        <w:r>
          <w:fldChar w:fldCharType="separate"/>
        </w:r>
        <w:r w:rsidR="009674F1">
          <w:rPr>
            <w:noProof/>
          </w:rPr>
          <w:t>1</w:t>
        </w:r>
        <w:r>
          <w:rPr>
            <w:noProof/>
          </w:rPr>
          <w:fldChar w:fldCharType="end"/>
        </w:r>
      </w:p>
    </w:sdtContent>
  </w:sdt>
  <w:p w:rsidR="00B563E3" w:rsidRDefault="00B5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E3" w:rsidRDefault="00B563E3" w:rsidP="00151018">
      <w:pPr>
        <w:spacing w:after="0" w:line="240" w:lineRule="auto"/>
      </w:pPr>
      <w:r>
        <w:separator/>
      </w:r>
    </w:p>
  </w:footnote>
  <w:footnote w:type="continuationSeparator" w:id="0">
    <w:p w:rsidR="00B563E3" w:rsidRDefault="00B563E3" w:rsidP="0015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956"/>
    <w:multiLevelType w:val="hybridMultilevel"/>
    <w:tmpl w:val="9C8AE150"/>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4AE2E94"/>
    <w:multiLevelType w:val="hybridMultilevel"/>
    <w:tmpl w:val="574A40CC"/>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52E5D68"/>
    <w:multiLevelType w:val="hybridMultilevel"/>
    <w:tmpl w:val="1898FE26"/>
    <w:lvl w:ilvl="0" w:tplc="04090017">
      <w:start w:val="1"/>
      <w:numFmt w:val="lowerLetter"/>
      <w:lvlText w:val="%1)"/>
      <w:lvlJc w:val="left"/>
      <w:pPr>
        <w:ind w:left="1176" w:hanging="72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nsid w:val="05CC02F6"/>
    <w:multiLevelType w:val="multilevel"/>
    <w:tmpl w:val="EEC0CB66"/>
    <w:lvl w:ilvl="0">
      <w:start w:val="1"/>
      <w:numFmt w:val="upperRoman"/>
      <w:pStyle w:val="Heading1"/>
      <w:lvlText w:val="%1."/>
      <w:lvlJc w:val="right"/>
      <w:pPr>
        <w:ind w:left="0" w:firstLine="0"/>
      </w:pPr>
      <w:rPr>
        <w:rFonts w:hint="default"/>
      </w:rPr>
    </w:lvl>
    <w:lvl w:ilvl="1">
      <w:start w:val="1"/>
      <w:numFmt w:val="upperRoman"/>
      <w:pStyle w:val="Heading2"/>
      <w:lvlText w:val="%2."/>
      <w:lvlJc w:val="righ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
    <w:nsid w:val="0751607C"/>
    <w:multiLevelType w:val="hybridMultilevel"/>
    <w:tmpl w:val="5D60A50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28358D9"/>
    <w:multiLevelType w:val="hybridMultilevel"/>
    <w:tmpl w:val="A992E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C0970"/>
    <w:multiLevelType w:val="hybridMultilevel"/>
    <w:tmpl w:val="AF840E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532020"/>
    <w:multiLevelType w:val="hybridMultilevel"/>
    <w:tmpl w:val="F0ACB9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92FC9"/>
    <w:multiLevelType w:val="hybridMultilevel"/>
    <w:tmpl w:val="B91C1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B62AC"/>
    <w:multiLevelType w:val="hybridMultilevel"/>
    <w:tmpl w:val="356CBF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7522B7F"/>
    <w:multiLevelType w:val="hybridMultilevel"/>
    <w:tmpl w:val="DF52E7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D28D4"/>
    <w:multiLevelType w:val="hybridMultilevel"/>
    <w:tmpl w:val="30A247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312358C8"/>
    <w:multiLevelType w:val="hybridMultilevel"/>
    <w:tmpl w:val="358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23909"/>
    <w:multiLevelType w:val="hybridMultilevel"/>
    <w:tmpl w:val="7CEE5E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4441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343B0368"/>
    <w:multiLevelType w:val="hybridMultilevel"/>
    <w:tmpl w:val="ACC6B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F445D"/>
    <w:multiLevelType w:val="hybridMultilevel"/>
    <w:tmpl w:val="DD7A3ADE"/>
    <w:lvl w:ilvl="0" w:tplc="B1C66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34973"/>
    <w:multiLevelType w:val="hybridMultilevel"/>
    <w:tmpl w:val="0D92EBB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nsid w:val="43320EE5"/>
    <w:multiLevelType w:val="hybridMultilevel"/>
    <w:tmpl w:val="91364C0C"/>
    <w:lvl w:ilvl="0" w:tplc="D5F6B9C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43FA145F"/>
    <w:multiLevelType w:val="hybridMultilevel"/>
    <w:tmpl w:val="8ECC8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15D9A"/>
    <w:multiLevelType w:val="hybridMultilevel"/>
    <w:tmpl w:val="6032FCEE"/>
    <w:lvl w:ilvl="0" w:tplc="C432639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70733A"/>
    <w:multiLevelType w:val="hybridMultilevel"/>
    <w:tmpl w:val="1898FE26"/>
    <w:lvl w:ilvl="0" w:tplc="04090017">
      <w:start w:val="1"/>
      <w:numFmt w:val="lowerLetter"/>
      <w:lvlText w:val="%1)"/>
      <w:lvlJc w:val="left"/>
      <w:pPr>
        <w:ind w:left="1176" w:hanging="72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2">
    <w:nsid w:val="4A3646A0"/>
    <w:multiLevelType w:val="hybridMultilevel"/>
    <w:tmpl w:val="4E8A8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62F63"/>
    <w:multiLevelType w:val="hybridMultilevel"/>
    <w:tmpl w:val="53846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520B4"/>
    <w:multiLevelType w:val="hybridMultilevel"/>
    <w:tmpl w:val="AB22C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2581E"/>
    <w:multiLevelType w:val="hybridMultilevel"/>
    <w:tmpl w:val="94A27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301D9"/>
    <w:multiLevelType w:val="hybridMultilevel"/>
    <w:tmpl w:val="213C6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7EA7822"/>
    <w:multiLevelType w:val="hybridMultilevel"/>
    <w:tmpl w:val="EF2C199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5C875FFE"/>
    <w:multiLevelType w:val="hybridMultilevel"/>
    <w:tmpl w:val="C114C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76CBD"/>
    <w:multiLevelType w:val="hybridMultilevel"/>
    <w:tmpl w:val="980EE7D2"/>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64E4398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F16CC2"/>
    <w:multiLevelType w:val="hybridMultilevel"/>
    <w:tmpl w:val="45461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C2692"/>
    <w:multiLevelType w:val="hybridMultilevel"/>
    <w:tmpl w:val="B7167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06803"/>
    <w:multiLevelType w:val="hybridMultilevel"/>
    <w:tmpl w:val="B8CA9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811CA"/>
    <w:multiLevelType w:val="hybridMultilevel"/>
    <w:tmpl w:val="332EC260"/>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72ED39B6"/>
    <w:multiLevelType w:val="hybridMultilevel"/>
    <w:tmpl w:val="86284D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nsid w:val="74041B20"/>
    <w:multiLevelType w:val="hybridMultilevel"/>
    <w:tmpl w:val="A746C17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7">
    <w:nsid w:val="7BE26EA4"/>
    <w:multiLevelType w:val="hybridMultilevel"/>
    <w:tmpl w:val="A008E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15"/>
  </w:num>
  <w:num w:numId="5">
    <w:abstractNumId w:val="1"/>
  </w:num>
  <w:num w:numId="6">
    <w:abstractNumId w:val="19"/>
  </w:num>
  <w:num w:numId="7">
    <w:abstractNumId w:val="29"/>
  </w:num>
  <w:num w:numId="8">
    <w:abstractNumId w:val="25"/>
  </w:num>
  <w:num w:numId="9">
    <w:abstractNumId w:val="37"/>
  </w:num>
  <w:num w:numId="10">
    <w:abstractNumId w:val="28"/>
  </w:num>
  <w:num w:numId="11">
    <w:abstractNumId w:val="13"/>
  </w:num>
  <w:num w:numId="12">
    <w:abstractNumId w:val="0"/>
  </w:num>
  <w:num w:numId="13">
    <w:abstractNumId w:val="5"/>
  </w:num>
  <w:num w:numId="14">
    <w:abstractNumId w:val="22"/>
  </w:num>
  <w:num w:numId="15">
    <w:abstractNumId w:val="24"/>
  </w:num>
  <w:num w:numId="16">
    <w:abstractNumId w:val="9"/>
  </w:num>
  <w:num w:numId="17">
    <w:abstractNumId w:val="18"/>
  </w:num>
  <w:num w:numId="18">
    <w:abstractNumId w:val="4"/>
  </w:num>
  <w:num w:numId="19">
    <w:abstractNumId w:val="6"/>
  </w:num>
  <w:num w:numId="20">
    <w:abstractNumId w:val="32"/>
  </w:num>
  <w:num w:numId="21">
    <w:abstractNumId w:val="23"/>
  </w:num>
  <w:num w:numId="22">
    <w:abstractNumId w:val="7"/>
  </w:num>
  <w:num w:numId="23">
    <w:abstractNumId w:val="3"/>
  </w:num>
  <w:num w:numId="24">
    <w:abstractNumId w:val="8"/>
  </w:num>
  <w:num w:numId="25">
    <w:abstractNumId w:val="30"/>
  </w:num>
  <w:num w:numId="26">
    <w:abstractNumId w:val="16"/>
  </w:num>
  <w:num w:numId="27">
    <w:abstractNumId w:val="12"/>
  </w:num>
  <w:num w:numId="28">
    <w:abstractNumId w:val="10"/>
  </w:num>
  <w:num w:numId="29">
    <w:abstractNumId w:val="20"/>
  </w:num>
  <w:num w:numId="30">
    <w:abstractNumId w:val="27"/>
  </w:num>
  <w:num w:numId="31">
    <w:abstractNumId w:val="34"/>
  </w:num>
  <w:num w:numId="32">
    <w:abstractNumId w:val="33"/>
  </w:num>
  <w:num w:numId="33">
    <w:abstractNumId w:val="11"/>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6"/>
  </w:num>
  <w:num w:numId="38">
    <w:abstractNumId w:val="35"/>
  </w:num>
  <w:num w:numId="39">
    <w:abstractNumId w:val="26"/>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7"/>
    <w:rsid w:val="00002619"/>
    <w:rsid w:val="00005551"/>
    <w:rsid w:val="00005CEA"/>
    <w:rsid w:val="00011295"/>
    <w:rsid w:val="0002400C"/>
    <w:rsid w:val="000245CB"/>
    <w:rsid w:val="0003081D"/>
    <w:rsid w:val="00031443"/>
    <w:rsid w:val="000376B6"/>
    <w:rsid w:val="000421C3"/>
    <w:rsid w:val="00052AF1"/>
    <w:rsid w:val="000538D4"/>
    <w:rsid w:val="00066599"/>
    <w:rsid w:val="00073E10"/>
    <w:rsid w:val="00086E60"/>
    <w:rsid w:val="00093074"/>
    <w:rsid w:val="000941E7"/>
    <w:rsid w:val="000A1A3F"/>
    <w:rsid w:val="000A4C04"/>
    <w:rsid w:val="000A6389"/>
    <w:rsid w:val="000B71B7"/>
    <w:rsid w:val="000C104D"/>
    <w:rsid w:val="000C2AF6"/>
    <w:rsid w:val="000C3A63"/>
    <w:rsid w:val="000D384A"/>
    <w:rsid w:val="000D638A"/>
    <w:rsid w:val="000E5E40"/>
    <w:rsid w:val="000F22D1"/>
    <w:rsid w:val="000F403E"/>
    <w:rsid w:val="001162E2"/>
    <w:rsid w:val="0012656A"/>
    <w:rsid w:val="00145317"/>
    <w:rsid w:val="00145DE8"/>
    <w:rsid w:val="0014699C"/>
    <w:rsid w:val="00150735"/>
    <w:rsid w:val="00151018"/>
    <w:rsid w:val="0016720B"/>
    <w:rsid w:val="001760DB"/>
    <w:rsid w:val="001762D9"/>
    <w:rsid w:val="00180BC0"/>
    <w:rsid w:val="001837DD"/>
    <w:rsid w:val="00194D31"/>
    <w:rsid w:val="001A2C32"/>
    <w:rsid w:val="001A3C09"/>
    <w:rsid w:val="001B12E4"/>
    <w:rsid w:val="001B1A3E"/>
    <w:rsid w:val="001B4BD4"/>
    <w:rsid w:val="001C1080"/>
    <w:rsid w:val="001C1592"/>
    <w:rsid w:val="001D244F"/>
    <w:rsid w:val="001D3649"/>
    <w:rsid w:val="001D5E1B"/>
    <w:rsid w:val="001F4B72"/>
    <w:rsid w:val="001F7F91"/>
    <w:rsid w:val="00200393"/>
    <w:rsid w:val="00201F80"/>
    <w:rsid w:val="0020266E"/>
    <w:rsid w:val="00214CA2"/>
    <w:rsid w:val="00214FB5"/>
    <w:rsid w:val="002204A7"/>
    <w:rsid w:val="00221E6F"/>
    <w:rsid w:val="00222051"/>
    <w:rsid w:val="0022507D"/>
    <w:rsid w:val="002302D6"/>
    <w:rsid w:val="00236467"/>
    <w:rsid w:val="0025568C"/>
    <w:rsid w:val="00261070"/>
    <w:rsid w:val="00267C37"/>
    <w:rsid w:val="00273117"/>
    <w:rsid w:val="002769D8"/>
    <w:rsid w:val="00277B4D"/>
    <w:rsid w:val="00280BF2"/>
    <w:rsid w:val="00286B1A"/>
    <w:rsid w:val="00290679"/>
    <w:rsid w:val="00297C90"/>
    <w:rsid w:val="002A67B8"/>
    <w:rsid w:val="002A77DA"/>
    <w:rsid w:val="002B0151"/>
    <w:rsid w:val="002C0B7A"/>
    <w:rsid w:val="002C384B"/>
    <w:rsid w:val="002C67B4"/>
    <w:rsid w:val="002D03E1"/>
    <w:rsid w:val="002D4CF8"/>
    <w:rsid w:val="002D5766"/>
    <w:rsid w:val="002E11EE"/>
    <w:rsid w:val="002E334F"/>
    <w:rsid w:val="002E6D45"/>
    <w:rsid w:val="002F7C68"/>
    <w:rsid w:val="00302615"/>
    <w:rsid w:val="00302CDA"/>
    <w:rsid w:val="00310080"/>
    <w:rsid w:val="00311706"/>
    <w:rsid w:val="00320CFB"/>
    <w:rsid w:val="00321D90"/>
    <w:rsid w:val="00324548"/>
    <w:rsid w:val="003306BB"/>
    <w:rsid w:val="003306D2"/>
    <w:rsid w:val="00345F35"/>
    <w:rsid w:val="003503D2"/>
    <w:rsid w:val="00351726"/>
    <w:rsid w:val="00351843"/>
    <w:rsid w:val="00353932"/>
    <w:rsid w:val="00357DAA"/>
    <w:rsid w:val="003673D2"/>
    <w:rsid w:val="00370226"/>
    <w:rsid w:val="00373613"/>
    <w:rsid w:val="00373679"/>
    <w:rsid w:val="00375C98"/>
    <w:rsid w:val="00383EC8"/>
    <w:rsid w:val="003866F3"/>
    <w:rsid w:val="003945DA"/>
    <w:rsid w:val="003A7B39"/>
    <w:rsid w:val="003B12A6"/>
    <w:rsid w:val="003B1540"/>
    <w:rsid w:val="003B2525"/>
    <w:rsid w:val="003B4E59"/>
    <w:rsid w:val="003C04CE"/>
    <w:rsid w:val="003C2355"/>
    <w:rsid w:val="003C398E"/>
    <w:rsid w:val="003C63D0"/>
    <w:rsid w:val="003D356D"/>
    <w:rsid w:val="003D3F60"/>
    <w:rsid w:val="003E14B9"/>
    <w:rsid w:val="003E79BC"/>
    <w:rsid w:val="003F551C"/>
    <w:rsid w:val="003F72E4"/>
    <w:rsid w:val="00401363"/>
    <w:rsid w:val="00401C9E"/>
    <w:rsid w:val="00410DC5"/>
    <w:rsid w:val="00411B3D"/>
    <w:rsid w:val="00413140"/>
    <w:rsid w:val="0041623A"/>
    <w:rsid w:val="0042379B"/>
    <w:rsid w:val="004332DB"/>
    <w:rsid w:val="004338D5"/>
    <w:rsid w:val="0044202E"/>
    <w:rsid w:val="00447804"/>
    <w:rsid w:val="00447F47"/>
    <w:rsid w:val="004504AA"/>
    <w:rsid w:val="0045357A"/>
    <w:rsid w:val="00460980"/>
    <w:rsid w:val="004615E7"/>
    <w:rsid w:val="00462738"/>
    <w:rsid w:val="00463CE8"/>
    <w:rsid w:val="00466DA3"/>
    <w:rsid w:val="00487190"/>
    <w:rsid w:val="004A19CF"/>
    <w:rsid w:val="004B0926"/>
    <w:rsid w:val="004B4375"/>
    <w:rsid w:val="004B78B5"/>
    <w:rsid w:val="004D5B3E"/>
    <w:rsid w:val="004F1D17"/>
    <w:rsid w:val="004F1E43"/>
    <w:rsid w:val="004F4E55"/>
    <w:rsid w:val="00503644"/>
    <w:rsid w:val="0052217F"/>
    <w:rsid w:val="00525440"/>
    <w:rsid w:val="0052561C"/>
    <w:rsid w:val="005431F9"/>
    <w:rsid w:val="00543A9A"/>
    <w:rsid w:val="005470A5"/>
    <w:rsid w:val="00551D2E"/>
    <w:rsid w:val="00556FE0"/>
    <w:rsid w:val="00561CE0"/>
    <w:rsid w:val="0056204F"/>
    <w:rsid w:val="005644F9"/>
    <w:rsid w:val="00564C74"/>
    <w:rsid w:val="00575ED1"/>
    <w:rsid w:val="0058323A"/>
    <w:rsid w:val="00585F33"/>
    <w:rsid w:val="005968A4"/>
    <w:rsid w:val="005A2E5A"/>
    <w:rsid w:val="005B1B33"/>
    <w:rsid w:val="005B679C"/>
    <w:rsid w:val="005B7AA0"/>
    <w:rsid w:val="005C7134"/>
    <w:rsid w:val="005D0086"/>
    <w:rsid w:val="005D2ED9"/>
    <w:rsid w:val="005D3EA6"/>
    <w:rsid w:val="005D4A24"/>
    <w:rsid w:val="005D6B3B"/>
    <w:rsid w:val="005D7FAC"/>
    <w:rsid w:val="005E0D9A"/>
    <w:rsid w:val="00604296"/>
    <w:rsid w:val="00610059"/>
    <w:rsid w:val="006133BD"/>
    <w:rsid w:val="00615C13"/>
    <w:rsid w:val="006208AA"/>
    <w:rsid w:val="0062118A"/>
    <w:rsid w:val="006266CE"/>
    <w:rsid w:val="00633CB4"/>
    <w:rsid w:val="00635EAA"/>
    <w:rsid w:val="00637F3F"/>
    <w:rsid w:val="006546BE"/>
    <w:rsid w:val="006556EA"/>
    <w:rsid w:val="00656435"/>
    <w:rsid w:val="0067424F"/>
    <w:rsid w:val="006755AC"/>
    <w:rsid w:val="00675B82"/>
    <w:rsid w:val="00685CF7"/>
    <w:rsid w:val="0069077C"/>
    <w:rsid w:val="006953B9"/>
    <w:rsid w:val="00695730"/>
    <w:rsid w:val="006A1936"/>
    <w:rsid w:val="006A392D"/>
    <w:rsid w:val="006A5DAA"/>
    <w:rsid w:val="006B1864"/>
    <w:rsid w:val="006B4D57"/>
    <w:rsid w:val="006C5047"/>
    <w:rsid w:val="006C59A3"/>
    <w:rsid w:val="006C7E29"/>
    <w:rsid w:val="006D792A"/>
    <w:rsid w:val="006E1998"/>
    <w:rsid w:val="006E3763"/>
    <w:rsid w:val="006E4269"/>
    <w:rsid w:val="006E4CEB"/>
    <w:rsid w:val="006E57B1"/>
    <w:rsid w:val="006F6B92"/>
    <w:rsid w:val="00701EA6"/>
    <w:rsid w:val="00711A48"/>
    <w:rsid w:val="00721795"/>
    <w:rsid w:val="007334EC"/>
    <w:rsid w:val="0075421A"/>
    <w:rsid w:val="00755D30"/>
    <w:rsid w:val="00757F16"/>
    <w:rsid w:val="00763C55"/>
    <w:rsid w:val="0076531B"/>
    <w:rsid w:val="00765BEB"/>
    <w:rsid w:val="007859D2"/>
    <w:rsid w:val="007A07EF"/>
    <w:rsid w:val="007B7164"/>
    <w:rsid w:val="007C0C52"/>
    <w:rsid w:val="007C469B"/>
    <w:rsid w:val="007D1AD8"/>
    <w:rsid w:val="007D31B7"/>
    <w:rsid w:val="007E22E6"/>
    <w:rsid w:val="007E6FC9"/>
    <w:rsid w:val="007E77D2"/>
    <w:rsid w:val="007F1ABF"/>
    <w:rsid w:val="007F3D4C"/>
    <w:rsid w:val="007F49F2"/>
    <w:rsid w:val="008007ED"/>
    <w:rsid w:val="00800F94"/>
    <w:rsid w:val="0080148C"/>
    <w:rsid w:val="00803A9B"/>
    <w:rsid w:val="00814D64"/>
    <w:rsid w:val="00815C19"/>
    <w:rsid w:val="00817CA7"/>
    <w:rsid w:val="00825138"/>
    <w:rsid w:val="008341CA"/>
    <w:rsid w:val="00835F3B"/>
    <w:rsid w:val="00836E17"/>
    <w:rsid w:val="0084054A"/>
    <w:rsid w:val="0084386E"/>
    <w:rsid w:val="008451B6"/>
    <w:rsid w:val="008463E5"/>
    <w:rsid w:val="0086028B"/>
    <w:rsid w:val="0086456C"/>
    <w:rsid w:val="00866371"/>
    <w:rsid w:val="008706F4"/>
    <w:rsid w:val="00872884"/>
    <w:rsid w:val="008779B1"/>
    <w:rsid w:val="00894D45"/>
    <w:rsid w:val="00897C7D"/>
    <w:rsid w:val="008A025F"/>
    <w:rsid w:val="008A3002"/>
    <w:rsid w:val="008A6431"/>
    <w:rsid w:val="008A78E5"/>
    <w:rsid w:val="008B0A92"/>
    <w:rsid w:val="008B1B93"/>
    <w:rsid w:val="008C0A4C"/>
    <w:rsid w:val="008D6EEB"/>
    <w:rsid w:val="008E21C4"/>
    <w:rsid w:val="008F26D0"/>
    <w:rsid w:val="0091110E"/>
    <w:rsid w:val="00911379"/>
    <w:rsid w:val="0091393E"/>
    <w:rsid w:val="00920957"/>
    <w:rsid w:val="009214A7"/>
    <w:rsid w:val="00922F55"/>
    <w:rsid w:val="009231BE"/>
    <w:rsid w:val="00926163"/>
    <w:rsid w:val="009317FB"/>
    <w:rsid w:val="009402E8"/>
    <w:rsid w:val="0094153E"/>
    <w:rsid w:val="009435E9"/>
    <w:rsid w:val="00952D02"/>
    <w:rsid w:val="009568E2"/>
    <w:rsid w:val="009605D4"/>
    <w:rsid w:val="009674F1"/>
    <w:rsid w:val="00974D56"/>
    <w:rsid w:val="00975DE5"/>
    <w:rsid w:val="009938F6"/>
    <w:rsid w:val="00995A6B"/>
    <w:rsid w:val="00997905"/>
    <w:rsid w:val="009A3AB3"/>
    <w:rsid w:val="009A4D59"/>
    <w:rsid w:val="009B0FF2"/>
    <w:rsid w:val="009C0038"/>
    <w:rsid w:val="009C5036"/>
    <w:rsid w:val="009C5996"/>
    <w:rsid w:val="009D4984"/>
    <w:rsid w:val="009E49BA"/>
    <w:rsid w:val="009F0AC5"/>
    <w:rsid w:val="00A00A9A"/>
    <w:rsid w:val="00A0111D"/>
    <w:rsid w:val="00A02342"/>
    <w:rsid w:val="00A0444B"/>
    <w:rsid w:val="00A12E4F"/>
    <w:rsid w:val="00A13DF8"/>
    <w:rsid w:val="00A14F71"/>
    <w:rsid w:val="00A230F0"/>
    <w:rsid w:val="00A236FC"/>
    <w:rsid w:val="00A2411D"/>
    <w:rsid w:val="00A4057F"/>
    <w:rsid w:val="00A4304B"/>
    <w:rsid w:val="00A461C2"/>
    <w:rsid w:val="00A510E4"/>
    <w:rsid w:val="00A56471"/>
    <w:rsid w:val="00A56A47"/>
    <w:rsid w:val="00A61358"/>
    <w:rsid w:val="00A61427"/>
    <w:rsid w:val="00A73DA6"/>
    <w:rsid w:val="00A82C18"/>
    <w:rsid w:val="00A87FB6"/>
    <w:rsid w:val="00A92D42"/>
    <w:rsid w:val="00A92F3C"/>
    <w:rsid w:val="00A96596"/>
    <w:rsid w:val="00AA250D"/>
    <w:rsid w:val="00AA590B"/>
    <w:rsid w:val="00AB0B2A"/>
    <w:rsid w:val="00AB23E6"/>
    <w:rsid w:val="00AB3BDC"/>
    <w:rsid w:val="00AC312D"/>
    <w:rsid w:val="00AC7E07"/>
    <w:rsid w:val="00AD16E0"/>
    <w:rsid w:val="00AD6D23"/>
    <w:rsid w:val="00AD728F"/>
    <w:rsid w:val="00AE0580"/>
    <w:rsid w:val="00AE3DF7"/>
    <w:rsid w:val="00AE402A"/>
    <w:rsid w:val="00AE53DD"/>
    <w:rsid w:val="00AF166E"/>
    <w:rsid w:val="00AF47AE"/>
    <w:rsid w:val="00B0187D"/>
    <w:rsid w:val="00B1173A"/>
    <w:rsid w:val="00B12E4B"/>
    <w:rsid w:val="00B16667"/>
    <w:rsid w:val="00B2414C"/>
    <w:rsid w:val="00B3017B"/>
    <w:rsid w:val="00B3777E"/>
    <w:rsid w:val="00B4381A"/>
    <w:rsid w:val="00B47B21"/>
    <w:rsid w:val="00B55B54"/>
    <w:rsid w:val="00B563E3"/>
    <w:rsid w:val="00B61BC0"/>
    <w:rsid w:val="00B74CAD"/>
    <w:rsid w:val="00B81170"/>
    <w:rsid w:val="00B82D1B"/>
    <w:rsid w:val="00B82E28"/>
    <w:rsid w:val="00B957CA"/>
    <w:rsid w:val="00B965EA"/>
    <w:rsid w:val="00BB0D4C"/>
    <w:rsid w:val="00BB5914"/>
    <w:rsid w:val="00BC0753"/>
    <w:rsid w:val="00BC2F4A"/>
    <w:rsid w:val="00BC36DC"/>
    <w:rsid w:val="00BE5367"/>
    <w:rsid w:val="00BE6A02"/>
    <w:rsid w:val="00BF1A44"/>
    <w:rsid w:val="00BF7B6B"/>
    <w:rsid w:val="00C02D34"/>
    <w:rsid w:val="00C03D93"/>
    <w:rsid w:val="00C0642D"/>
    <w:rsid w:val="00C1611F"/>
    <w:rsid w:val="00C20B64"/>
    <w:rsid w:val="00C3154E"/>
    <w:rsid w:val="00C32D19"/>
    <w:rsid w:val="00C337E5"/>
    <w:rsid w:val="00C3639B"/>
    <w:rsid w:val="00C401AC"/>
    <w:rsid w:val="00C43492"/>
    <w:rsid w:val="00C4574B"/>
    <w:rsid w:val="00C45C2F"/>
    <w:rsid w:val="00C61F6D"/>
    <w:rsid w:val="00C63407"/>
    <w:rsid w:val="00C66AE4"/>
    <w:rsid w:val="00C73091"/>
    <w:rsid w:val="00C77637"/>
    <w:rsid w:val="00C82A26"/>
    <w:rsid w:val="00C83923"/>
    <w:rsid w:val="00C91725"/>
    <w:rsid w:val="00CA0793"/>
    <w:rsid w:val="00CA0CE7"/>
    <w:rsid w:val="00CA4920"/>
    <w:rsid w:val="00CA50D4"/>
    <w:rsid w:val="00CB1889"/>
    <w:rsid w:val="00CB6FC2"/>
    <w:rsid w:val="00CC7CBA"/>
    <w:rsid w:val="00CD5EDE"/>
    <w:rsid w:val="00CD7653"/>
    <w:rsid w:val="00CE47C2"/>
    <w:rsid w:val="00CF4762"/>
    <w:rsid w:val="00D04E69"/>
    <w:rsid w:val="00D1042D"/>
    <w:rsid w:val="00D1302E"/>
    <w:rsid w:val="00D13F57"/>
    <w:rsid w:val="00D17411"/>
    <w:rsid w:val="00D26278"/>
    <w:rsid w:val="00D325CA"/>
    <w:rsid w:val="00D35630"/>
    <w:rsid w:val="00D40A0C"/>
    <w:rsid w:val="00D456D6"/>
    <w:rsid w:val="00D47E6C"/>
    <w:rsid w:val="00D513DB"/>
    <w:rsid w:val="00D56E25"/>
    <w:rsid w:val="00D576E7"/>
    <w:rsid w:val="00D600E2"/>
    <w:rsid w:val="00D7084A"/>
    <w:rsid w:val="00D71924"/>
    <w:rsid w:val="00D81B6C"/>
    <w:rsid w:val="00D90AA8"/>
    <w:rsid w:val="00D92567"/>
    <w:rsid w:val="00DA07F6"/>
    <w:rsid w:val="00DA2B5C"/>
    <w:rsid w:val="00DA49D0"/>
    <w:rsid w:val="00DC050C"/>
    <w:rsid w:val="00DC0A19"/>
    <w:rsid w:val="00DD134C"/>
    <w:rsid w:val="00DD2786"/>
    <w:rsid w:val="00DE13EE"/>
    <w:rsid w:val="00DE46F2"/>
    <w:rsid w:val="00DF12F7"/>
    <w:rsid w:val="00DF294E"/>
    <w:rsid w:val="00DF4E00"/>
    <w:rsid w:val="00DF67F7"/>
    <w:rsid w:val="00E009A7"/>
    <w:rsid w:val="00E070D0"/>
    <w:rsid w:val="00E16AD2"/>
    <w:rsid w:val="00E22A6F"/>
    <w:rsid w:val="00E27FB8"/>
    <w:rsid w:val="00E34948"/>
    <w:rsid w:val="00E36A58"/>
    <w:rsid w:val="00E43ED5"/>
    <w:rsid w:val="00E618E3"/>
    <w:rsid w:val="00E65F97"/>
    <w:rsid w:val="00E70FE5"/>
    <w:rsid w:val="00E71449"/>
    <w:rsid w:val="00E762EB"/>
    <w:rsid w:val="00E82436"/>
    <w:rsid w:val="00E903F6"/>
    <w:rsid w:val="00E9291D"/>
    <w:rsid w:val="00E92F9B"/>
    <w:rsid w:val="00E9345A"/>
    <w:rsid w:val="00E9670A"/>
    <w:rsid w:val="00EA1EBE"/>
    <w:rsid w:val="00EA4D0B"/>
    <w:rsid w:val="00EB2F5D"/>
    <w:rsid w:val="00EB4768"/>
    <w:rsid w:val="00EB6A8C"/>
    <w:rsid w:val="00EC1F44"/>
    <w:rsid w:val="00EC4C76"/>
    <w:rsid w:val="00EC7F3D"/>
    <w:rsid w:val="00ED122F"/>
    <w:rsid w:val="00ED2D2C"/>
    <w:rsid w:val="00ED5686"/>
    <w:rsid w:val="00EE1A39"/>
    <w:rsid w:val="00EE451C"/>
    <w:rsid w:val="00EF2856"/>
    <w:rsid w:val="00EF48FE"/>
    <w:rsid w:val="00F04F51"/>
    <w:rsid w:val="00F074C3"/>
    <w:rsid w:val="00F0762F"/>
    <w:rsid w:val="00F1202C"/>
    <w:rsid w:val="00F1483C"/>
    <w:rsid w:val="00F2113F"/>
    <w:rsid w:val="00F21799"/>
    <w:rsid w:val="00F21B4B"/>
    <w:rsid w:val="00F231DC"/>
    <w:rsid w:val="00F26E3D"/>
    <w:rsid w:val="00F27656"/>
    <w:rsid w:val="00F37EA1"/>
    <w:rsid w:val="00F41056"/>
    <w:rsid w:val="00F4145B"/>
    <w:rsid w:val="00F44516"/>
    <w:rsid w:val="00F474C8"/>
    <w:rsid w:val="00F57DFE"/>
    <w:rsid w:val="00F60286"/>
    <w:rsid w:val="00F607D0"/>
    <w:rsid w:val="00F61F0A"/>
    <w:rsid w:val="00F677D0"/>
    <w:rsid w:val="00F914C7"/>
    <w:rsid w:val="00F94785"/>
    <w:rsid w:val="00F9754B"/>
    <w:rsid w:val="00FA7006"/>
    <w:rsid w:val="00FA7A37"/>
    <w:rsid w:val="00FB1A29"/>
    <w:rsid w:val="00FB4314"/>
    <w:rsid w:val="00FB5C96"/>
    <w:rsid w:val="00FC2F05"/>
    <w:rsid w:val="00FC56B9"/>
    <w:rsid w:val="00FC5EC8"/>
    <w:rsid w:val="00FD309E"/>
    <w:rsid w:val="00FD42AF"/>
    <w:rsid w:val="00FE17D4"/>
    <w:rsid w:val="00FE75FE"/>
    <w:rsid w:val="00F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018"/>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01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01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101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101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5101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510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5101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101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51018"/>
    <w:rPr>
      <w:b/>
      <w:bCs/>
      <w:smallCaps/>
      <w:spacing w:val="5"/>
    </w:rPr>
  </w:style>
  <w:style w:type="paragraph" w:styleId="Title">
    <w:name w:val="Title"/>
    <w:basedOn w:val="Normal"/>
    <w:next w:val="Normal"/>
    <w:link w:val="TitleChar"/>
    <w:uiPriority w:val="10"/>
    <w:qFormat/>
    <w:rsid w:val="00151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01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1510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018"/>
    <w:rPr>
      <w:rFonts w:eastAsiaTheme="minorEastAsia"/>
      <w:lang w:eastAsia="ja-JP"/>
    </w:rPr>
  </w:style>
  <w:style w:type="paragraph" w:styleId="BalloonText">
    <w:name w:val="Balloon Text"/>
    <w:basedOn w:val="Normal"/>
    <w:link w:val="BalloonTextChar"/>
    <w:uiPriority w:val="99"/>
    <w:semiHidden/>
    <w:unhideWhenUsed/>
    <w:rsid w:val="0015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18"/>
    <w:rPr>
      <w:rFonts w:ascii="Tahoma" w:hAnsi="Tahoma" w:cs="Tahoma"/>
      <w:sz w:val="16"/>
      <w:szCs w:val="16"/>
    </w:rPr>
  </w:style>
  <w:style w:type="paragraph" w:styleId="Header">
    <w:name w:val="header"/>
    <w:basedOn w:val="Normal"/>
    <w:link w:val="HeaderChar"/>
    <w:uiPriority w:val="99"/>
    <w:unhideWhenUsed/>
    <w:rsid w:val="0015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18"/>
  </w:style>
  <w:style w:type="paragraph" w:styleId="Footer">
    <w:name w:val="footer"/>
    <w:basedOn w:val="Normal"/>
    <w:link w:val="FooterChar"/>
    <w:uiPriority w:val="99"/>
    <w:unhideWhenUsed/>
    <w:rsid w:val="0015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18"/>
  </w:style>
  <w:style w:type="character" w:customStyle="1" w:styleId="Heading1Char">
    <w:name w:val="Heading 1 Char"/>
    <w:basedOn w:val="DefaultParagraphFont"/>
    <w:link w:val="Heading1"/>
    <w:uiPriority w:val="9"/>
    <w:rsid w:val="001510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0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0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10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510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510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510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510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101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51018"/>
    <w:pPr>
      <w:ind w:left="720"/>
      <w:contextualSpacing/>
    </w:pPr>
  </w:style>
  <w:style w:type="paragraph" w:styleId="NormalWeb">
    <w:name w:val="Normal (Web)"/>
    <w:basedOn w:val="Normal"/>
    <w:uiPriority w:val="99"/>
    <w:unhideWhenUsed/>
    <w:rsid w:val="006E4CEB"/>
    <w:pPr>
      <w:spacing w:after="0" w:line="240" w:lineRule="auto"/>
    </w:pPr>
    <w:rPr>
      <w:rFonts w:ascii="Times New Roman" w:hAnsi="Times New Roman" w:cs="Times New Roman"/>
      <w:sz w:val="24"/>
      <w:szCs w:val="24"/>
    </w:rPr>
  </w:style>
  <w:style w:type="character" w:styleId="Emphasis">
    <w:name w:val="Emphasis"/>
    <w:basedOn w:val="DefaultParagraphFont"/>
    <w:qFormat/>
    <w:rsid w:val="00920957"/>
    <w:rPr>
      <w:i/>
      <w:iCs/>
    </w:rPr>
  </w:style>
  <w:style w:type="character" w:styleId="Hyperlink">
    <w:name w:val="Hyperlink"/>
    <w:basedOn w:val="DefaultParagraphFont"/>
    <w:uiPriority w:val="99"/>
    <w:unhideWhenUsed/>
    <w:rsid w:val="00EE1A39"/>
    <w:rPr>
      <w:color w:val="0000FF" w:themeColor="hyperlink"/>
      <w:u w:val="single"/>
    </w:rPr>
  </w:style>
  <w:style w:type="table" w:styleId="TableGrid">
    <w:name w:val="Table Grid"/>
    <w:basedOn w:val="TableNormal"/>
    <w:uiPriority w:val="59"/>
    <w:rsid w:val="00A5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338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338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4338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370226"/>
    <w:pPr>
      <w:numPr>
        <w:numId w:val="0"/>
      </w:numPr>
      <w:outlineLvl w:val="9"/>
    </w:pPr>
    <w:rPr>
      <w:lang w:eastAsia="ja-JP"/>
    </w:rPr>
  </w:style>
  <w:style w:type="paragraph" w:styleId="TOC1">
    <w:name w:val="toc 1"/>
    <w:basedOn w:val="Normal"/>
    <w:next w:val="Normal"/>
    <w:autoRedefine/>
    <w:uiPriority w:val="39"/>
    <w:unhideWhenUsed/>
    <w:rsid w:val="00D35630"/>
    <w:pPr>
      <w:tabs>
        <w:tab w:val="left" w:pos="450"/>
        <w:tab w:val="right" w:leader="dot" w:pos="9350"/>
      </w:tabs>
      <w:spacing w:after="100"/>
    </w:pPr>
  </w:style>
  <w:style w:type="paragraph" w:styleId="TOC3">
    <w:name w:val="toc 3"/>
    <w:basedOn w:val="Normal"/>
    <w:next w:val="Normal"/>
    <w:autoRedefine/>
    <w:uiPriority w:val="39"/>
    <w:unhideWhenUsed/>
    <w:rsid w:val="00370226"/>
    <w:pPr>
      <w:spacing w:after="100"/>
      <w:ind w:left="440"/>
    </w:pPr>
  </w:style>
  <w:style w:type="character" w:styleId="CommentReference">
    <w:name w:val="annotation reference"/>
    <w:basedOn w:val="DefaultParagraphFont"/>
    <w:uiPriority w:val="99"/>
    <w:semiHidden/>
    <w:unhideWhenUsed/>
    <w:rsid w:val="00800F94"/>
    <w:rPr>
      <w:sz w:val="16"/>
      <w:szCs w:val="16"/>
    </w:rPr>
  </w:style>
  <w:style w:type="paragraph" w:styleId="CommentText">
    <w:name w:val="annotation text"/>
    <w:basedOn w:val="Normal"/>
    <w:link w:val="CommentTextChar"/>
    <w:uiPriority w:val="99"/>
    <w:semiHidden/>
    <w:unhideWhenUsed/>
    <w:rsid w:val="00800F94"/>
    <w:pPr>
      <w:spacing w:line="240" w:lineRule="auto"/>
    </w:pPr>
    <w:rPr>
      <w:sz w:val="20"/>
      <w:szCs w:val="20"/>
    </w:rPr>
  </w:style>
  <w:style w:type="character" w:customStyle="1" w:styleId="CommentTextChar">
    <w:name w:val="Comment Text Char"/>
    <w:basedOn w:val="DefaultParagraphFont"/>
    <w:link w:val="CommentText"/>
    <w:uiPriority w:val="99"/>
    <w:semiHidden/>
    <w:rsid w:val="00800F94"/>
    <w:rPr>
      <w:sz w:val="20"/>
      <w:szCs w:val="20"/>
    </w:rPr>
  </w:style>
  <w:style w:type="paragraph" w:styleId="CommentSubject">
    <w:name w:val="annotation subject"/>
    <w:basedOn w:val="CommentText"/>
    <w:next w:val="CommentText"/>
    <w:link w:val="CommentSubjectChar"/>
    <w:uiPriority w:val="99"/>
    <w:semiHidden/>
    <w:unhideWhenUsed/>
    <w:rsid w:val="00800F94"/>
    <w:rPr>
      <w:b/>
      <w:bCs/>
    </w:rPr>
  </w:style>
  <w:style w:type="character" w:customStyle="1" w:styleId="CommentSubjectChar">
    <w:name w:val="Comment Subject Char"/>
    <w:basedOn w:val="CommentTextChar"/>
    <w:link w:val="CommentSubject"/>
    <w:uiPriority w:val="99"/>
    <w:semiHidden/>
    <w:rsid w:val="00800F94"/>
    <w:rPr>
      <w:b/>
      <w:bCs/>
      <w:sz w:val="20"/>
      <w:szCs w:val="20"/>
    </w:rPr>
  </w:style>
  <w:style w:type="character" w:styleId="FollowedHyperlink">
    <w:name w:val="FollowedHyperlink"/>
    <w:basedOn w:val="DefaultParagraphFont"/>
    <w:uiPriority w:val="99"/>
    <w:semiHidden/>
    <w:unhideWhenUsed/>
    <w:rsid w:val="002D4C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018"/>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01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01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101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101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5101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510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5101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101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51018"/>
    <w:rPr>
      <w:b/>
      <w:bCs/>
      <w:smallCaps/>
      <w:spacing w:val="5"/>
    </w:rPr>
  </w:style>
  <w:style w:type="paragraph" w:styleId="Title">
    <w:name w:val="Title"/>
    <w:basedOn w:val="Normal"/>
    <w:next w:val="Normal"/>
    <w:link w:val="TitleChar"/>
    <w:uiPriority w:val="10"/>
    <w:qFormat/>
    <w:rsid w:val="00151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01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15101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018"/>
    <w:rPr>
      <w:rFonts w:eastAsiaTheme="minorEastAsia"/>
      <w:lang w:eastAsia="ja-JP"/>
    </w:rPr>
  </w:style>
  <w:style w:type="paragraph" w:styleId="BalloonText">
    <w:name w:val="Balloon Text"/>
    <w:basedOn w:val="Normal"/>
    <w:link w:val="BalloonTextChar"/>
    <w:uiPriority w:val="99"/>
    <w:semiHidden/>
    <w:unhideWhenUsed/>
    <w:rsid w:val="0015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18"/>
    <w:rPr>
      <w:rFonts w:ascii="Tahoma" w:hAnsi="Tahoma" w:cs="Tahoma"/>
      <w:sz w:val="16"/>
      <w:szCs w:val="16"/>
    </w:rPr>
  </w:style>
  <w:style w:type="paragraph" w:styleId="Header">
    <w:name w:val="header"/>
    <w:basedOn w:val="Normal"/>
    <w:link w:val="HeaderChar"/>
    <w:uiPriority w:val="99"/>
    <w:unhideWhenUsed/>
    <w:rsid w:val="0015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18"/>
  </w:style>
  <w:style w:type="paragraph" w:styleId="Footer">
    <w:name w:val="footer"/>
    <w:basedOn w:val="Normal"/>
    <w:link w:val="FooterChar"/>
    <w:uiPriority w:val="99"/>
    <w:unhideWhenUsed/>
    <w:rsid w:val="0015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18"/>
  </w:style>
  <w:style w:type="character" w:customStyle="1" w:styleId="Heading1Char">
    <w:name w:val="Heading 1 Char"/>
    <w:basedOn w:val="DefaultParagraphFont"/>
    <w:link w:val="Heading1"/>
    <w:uiPriority w:val="9"/>
    <w:rsid w:val="001510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0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0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10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510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510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510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510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101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51018"/>
    <w:pPr>
      <w:ind w:left="720"/>
      <w:contextualSpacing/>
    </w:pPr>
  </w:style>
  <w:style w:type="paragraph" w:styleId="NormalWeb">
    <w:name w:val="Normal (Web)"/>
    <w:basedOn w:val="Normal"/>
    <w:uiPriority w:val="99"/>
    <w:unhideWhenUsed/>
    <w:rsid w:val="006E4CEB"/>
    <w:pPr>
      <w:spacing w:after="0" w:line="240" w:lineRule="auto"/>
    </w:pPr>
    <w:rPr>
      <w:rFonts w:ascii="Times New Roman" w:hAnsi="Times New Roman" w:cs="Times New Roman"/>
      <w:sz w:val="24"/>
      <w:szCs w:val="24"/>
    </w:rPr>
  </w:style>
  <w:style w:type="character" w:styleId="Emphasis">
    <w:name w:val="Emphasis"/>
    <w:basedOn w:val="DefaultParagraphFont"/>
    <w:qFormat/>
    <w:rsid w:val="00920957"/>
    <w:rPr>
      <w:i/>
      <w:iCs/>
    </w:rPr>
  </w:style>
  <w:style w:type="character" w:styleId="Hyperlink">
    <w:name w:val="Hyperlink"/>
    <w:basedOn w:val="DefaultParagraphFont"/>
    <w:uiPriority w:val="99"/>
    <w:unhideWhenUsed/>
    <w:rsid w:val="00EE1A39"/>
    <w:rPr>
      <w:color w:val="0000FF" w:themeColor="hyperlink"/>
      <w:u w:val="single"/>
    </w:rPr>
  </w:style>
  <w:style w:type="table" w:styleId="TableGrid">
    <w:name w:val="Table Grid"/>
    <w:basedOn w:val="TableNormal"/>
    <w:uiPriority w:val="59"/>
    <w:rsid w:val="00A5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338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338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4338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370226"/>
    <w:pPr>
      <w:numPr>
        <w:numId w:val="0"/>
      </w:numPr>
      <w:outlineLvl w:val="9"/>
    </w:pPr>
    <w:rPr>
      <w:lang w:eastAsia="ja-JP"/>
    </w:rPr>
  </w:style>
  <w:style w:type="paragraph" w:styleId="TOC1">
    <w:name w:val="toc 1"/>
    <w:basedOn w:val="Normal"/>
    <w:next w:val="Normal"/>
    <w:autoRedefine/>
    <w:uiPriority w:val="39"/>
    <w:unhideWhenUsed/>
    <w:rsid w:val="00D35630"/>
    <w:pPr>
      <w:tabs>
        <w:tab w:val="left" w:pos="450"/>
        <w:tab w:val="right" w:leader="dot" w:pos="9350"/>
      </w:tabs>
      <w:spacing w:after="100"/>
    </w:pPr>
  </w:style>
  <w:style w:type="paragraph" w:styleId="TOC3">
    <w:name w:val="toc 3"/>
    <w:basedOn w:val="Normal"/>
    <w:next w:val="Normal"/>
    <w:autoRedefine/>
    <w:uiPriority w:val="39"/>
    <w:unhideWhenUsed/>
    <w:rsid w:val="00370226"/>
    <w:pPr>
      <w:spacing w:after="100"/>
      <w:ind w:left="440"/>
    </w:pPr>
  </w:style>
  <w:style w:type="character" w:styleId="CommentReference">
    <w:name w:val="annotation reference"/>
    <w:basedOn w:val="DefaultParagraphFont"/>
    <w:uiPriority w:val="99"/>
    <w:semiHidden/>
    <w:unhideWhenUsed/>
    <w:rsid w:val="00800F94"/>
    <w:rPr>
      <w:sz w:val="16"/>
      <w:szCs w:val="16"/>
    </w:rPr>
  </w:style>
  <w:style w:type="paragraph" w:styleId="CommentText">
    <w:name w:val="annotation text"/>
    <w:basedOn w:val="Normal"/>
    <w:link w:val="CommentTextChar"/>
    <w:uiPriority w:val="99"/>
    <w:semiHidden/>
    <w:unhideWhenUsed/>
    <w:rsid w:val="00800F94"/>
    <w:pPr>
      <w:spacing w:line="240" w:lineRule="auto"/>
    </w:pPr>
    <w:rPr>
      <w:sz w:val="20"/>
      <w:szCs w:val="20"/>
    </w:rPr>
  </w:style>
  <w:style w:type="character" w:customStyle="1" w:styleId="CommentTextChar">
    <w:name w:val="Comment Text Char"/>
    <w:basedOn w:val="DefaultParagraphFont"/>
    <w:link w:val="CommentText"/>
    <w:uiPriority w:val="99"/>
    <w:semiHidden/>
    <w:rsid w:val="00800F94"/>
    <w:rPr>
      <w:sz w:val="20"/>
      <w:szCs w:val="20"/>
    </w:rPr>
  </w:style>
  <w:style w:type="paragraph" w:styleId="CommentSubject">
    <w:name w:val="annotation subject"/>
    <w:basedOn w:val="CommentText"/>
    <w:next w:val="CommentText"/>
    <w:link w:val="CommentSubjectChar"/>
    <w:uiPriority w:val="99"/>
    <w:semiHidden/>
    <w:unhideWhenUsed/>
    <w:rsid w:val="00800F94"/>
    <w:rPr>
      <w:b/>
      <w:bCs/>
    </w:rPr>
  </w:style>
  <w:style w:type="character" w:customStyle="1" w:styleId="CommentSubjectChar">
    <w:name w:val="Comment Subject Char"/>
    <w:basedOn w:val="CommentTextChar"/>
    <w:link w:val="CommentSubject"/>
    <w:uiPriority w:val="99"/>
    <w:semiHidden/>
    <w:rsid w:val="00800F94"/>
    <w:rPr>
      <w:b/>
      <w:bCs/>
      <w:sz w:val="20"/>
      <w:szCs w:val="20"/>
    </w:rPr>
  </w:style>
  <w:style w:type="character" w:styleId="FollowedHyperlink">
    <w:name w:val="FollowedHyperlink"/>
    <w:basedOn w:val="DefaultParagraphFont"/>
    <w:uiPriority w:val="99"/>
    <w:semiHidden/>
    <w:unhideWhenUsed/>
    <w:rsid w:val="002D4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846">
      <w:bodyDiv w:val="1"/>
      <w:marLeft w:val="0"/>
      <w:marRight w:val="0"/>
      <w:marTop w:val="0"/>
      <w:marBottom w:val="0"/>
      <w:divBdr>
        <w:top w:val="none" w:sz="0" w:space="0" w:color="auto"/>
        <w:left w:val="none" w:sz="0" w:space="0" w:color="auto"/>
        <w:bottom w:val="none" w:sz="0" w:space="0" w:color="auto"/>
        <w:right w:val="none" w:sz="0" w:space="0" w:color="auto"/>
      </w:divBdr>
    </w:div>
    <w:div w:id="349720090">
      <w:bodyDiv w:val="1"/>
      <w:marLeft w:val="0"/>
      <w:marRight w:val="0"/>
      <w:marTop w:val="0"/>
      <w:marBottom w:val="0"/>
      <w:divBdr>
        <w:top w:val="none" w:sz="0" w:space="0" w:color="auto"/>
        <w:left w:val="none" w:sz="0" w:space="0" w:color="auto"/>
        <w:bottom w:val="none" w:sz="0" w:space="0" w:color="auto"/>
        <w:right w:val="none" w:sz="0" w:space="0" w:color="auto"/>
      </w:divBdr>
      <w:divsChild>
        <w:div w:id="547911058">
          <w:marLeft w:val="0"/>
          <w:marRight w:val="0"/>
          <w:marTop w:val="0"/>
          <w:marBottom w:val="0"/>
          <w:divBdr>
            <w:top w:val="none" w:sz="0" w:space="0" w:color="auto"/>
            <w:left w:val="none" w:sz="0" w:space="0" w:color="auto"/>
            <w:bottom w:val="none" w:sz="0" w:space="0" w:color="auto"/>
            <w:right w:val="none" w:sz="0" w:space="0" w:color="auto"/>
          </w:divBdr>
        </w:div>
      </w:divsChild>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88457355">
      <w:bodyDiv w:val="1"/>
      <w:marLeft w:val="0"/>
      <w:marRight w:val="0"/>
      <w:marTop w:val="0"/>
      <w:marBottom w:val="0"/>
      <w:divBdr>
        <w:top w:val="none" w:sz="0" w:space="0" w:color="auto"/>
        <w:left w:val="none" w:sz="0" w:space="0" w:color="auto"/>
        <w:bottom w:val="none" w:sz="0" w:space="0" w:color="auto"/>
        <w:right w:val="none" w:sz="0" w:space="0" w:color="auto"/>
      </w:divBdr>
    </w:div>
    <w:div w:id="770397317">
      <w:bodyDiv w:val="1"/>
      <w:marLeft w:val="0"/>
      <w:marRight w:val="0"/>
      <w:marTop w:val="0"/>
      <w:marBottom w:val="0"/>
      <w:divBdr>
        <w:top w:val="none" w:sz="0" w:space="0" w:color="auto"/>
        <w:left w:val="none" w:sz="0" w:space="0" w:color="auto"/>
        <w:bottom w:val="none" w:sz="0" w:space="0" w:color="auto"/>
        <w:right w:val="none" w:sz="0" w:space="0" w:color="auto"/>
      </w:divBdr>
      <w:divsChild>
        <w:div w:id="268239263">
          <w:marLeft w:val="0"/>
          <w:marRight w:val="0"/>
          <w:marTop w:val="0"/>
          <w:marBottom w:val="0"/>
          <w:divBdr>
            <w:top w:val="none" w:sz="0" w:space="0" w:color="auto"/>
            <w:left w:val="none" w:sz="0" w:space="0" w:color="auto"/>
            <w:bottom w:val="none" w:sz="0" w:space="0" w:color="auto"/>
            <w:right w:val="none" w:sz="0" w:space="0" w:color="auto"/>
          </w:divBdr>
        </w:div>
      </w:divsChild>
    </w:div>
    <w:div w:id="916673842">
      <w:bodyDiv w:val="1"/>
      <w:marLeft w:val="0"/>
      <w:marRight w:val="0"/>
      <w:marTop w:val="0"/>
      <w:marBottom w:val="0"/>
      <w:divBdr>
        <w:top w:val="none" w:sz="0" w:space="0" w:color="auto"/>
        <w:left w:val="none" w:sz="0" w:space="0" w:color="auto"/>
        <w:bottom w:val="none" w:sz="0" w:space="0" w:color="auto"/>
        <w:right w:val="none" w:sz="0" w:space="0" w:color="auto"/>
      </w:divBdr>
    </w:div>
    <w:div w:id="1031611586">
      <w:bodyDiv w:val="1"/>
      <w:marLeft w:val="0"/>
      <w:marRight w:val="0"/>
      <w:marTop w:val="0"/>
      <w:marBottom w:val="0"/>
      <w:divBdr>
        <w:top w:val="none" w:sz="0" w:space="0" w:color="auto"/>
        <w:left w:val="none" w:sz="0" w:space="0" w:color="auto"/>
        <w:bottom w:val="none" w:sz="0" w:space="0" w:color="auto"/>
        <w:right w:val="none" w:sz="0" w:space="0" w:color="auto"/>
      </w:divBdr>
      <w:divsChild>
        <w:div w:id="1009521043">
          <w:marLeft w:val="0"/>
          <w:marRight w:val="0"/>
          <w:marTop w:val="0"/>
          <w:marBottom w:val="0"/>
          <w:divBdr>
            <w:top w:val="none" w:sz="0" w:space="0" w:color="auto"/>
            <w:left w:val="none" w:sz="0" w:space="0" w:color="auto"/>
            <w:bottom w:val="none" w:sz="0" w:space="0" w:color="auto"/>
            <w:right w:val="none" w:sz="0" w:space="0" w:color="auto"/>
          </w:divBdr>
        </w:div>
      </w:divsChild>
    </w:div>
    <w:div w:id="1255480229">
      <w:bodyDiv w:val="1"/>
      <w:marLeft w:val="0"/>
      <w:marRight w:val="0"/>
      <w:marTop w:val="0"/>
      <w:marBottom w:val="0"/>
      <w:divBdr>
        <w:top w:val="none" w:sz="0" w:space="0" w:color="auto"/>
        <w:left w:val="none" w:sz="0" w:space="0" w:color="auto"/>
        <w:bottom w:val="none" w:sz="0" w:space="0" w:color="auto"/>
        <w:right w:val="none" w:sz="0" w:space="0" w:color="auto"/>
      </w:divBdr>
    </w:div>
    <w:div w:id="1321693623">
      <w:bodyDiv w:val="1"/>
      <w:marLeft w:val="0"/>
      <w:marRight w:val="0"/>
      <w:marTop w:val="0"/>
      <w:marBottom w:val="0"/>
      <w:divBdr>
        <w:top w:val="none" w:sz="0" w:space="0" w:color="auto"/>
        <w:left w:val="none" w:sz="0" w:space="0" w:color="auto"/>
        <w:bottom w:val="none" w:sz="0" w:space="0" w:color="auto"/>
        <w:right w:val="none" w:sz="0" w:space="0" w:color="auto"/>
      </w:divBdr>
    </w:div>
    <w:div w:id="1908345770">
      <w:bodyDiv w:val="1"/>
      <w:marLeft w:val="0"/>
      <w:marRight w:val="0"/>
      <w:marTop w:val="0"/>
      <w:marBottom w:val="0"/>
      <w:divBdr>
        <w:top w:val="none" w:sz="0" w:space="0" w:color="auto"/>
        <w:left w:val="none" w:sz="0" w:space="0" w:color="auto"/>
        <w:bottom w:val="none" w:sz="0" w:space="0" w:color="auto"/>
        <w:right w:val="none" w:sz="0" w:space="0" w:color="auto"/>
      </w:divBdr>
    </w:div>
    <w:div w:id="21364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eong.Robinson@t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troller.State.Audit@cot.tn.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publications.tnsosfiles.com/acts/110/pub/pc007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TENNESSEE DEPARTMENT OF FINANCE AND ADMINISTRATION DIVISION OF ACCOUNTS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A371C-2864-4D60-95EB-FD54784C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Carrie Dawson</cp:lastModifiedBy>
  <cp:revision>18</cp:revision>
  <cp:lastPrinted>2017-10-24T17:29:00Z</cp:lastPrinted>
  <dcterms:created xsi:type="dcterms:W3CDTF">2017-04-20T19:59:00Z</dcterms:created>
  <dcterms:modified xsi:type="dcterms:W3CDTF">2017-10-24T19:22:00Z</dcterms:modified>
</cp:coreProperties>
</file>