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89993" w14:textId="77777777" w:rsidR="00D964AF" w:rsidRDefault="00D964AF" w:rsidP="00D964AF">
      <w:pPr>
        <w:spacing w:after="0" w:line="240" w:lineRule="auto"/>
        <w:ind w:right="585"/>
        <w:jc w:val="center"/>
        <w:rPr>
          <w:rFonts w:ascii="Calibri" w:eastAsia="Calibri" w:hAnsi="Calibri" w:cs="Calibri"/>
          <w:b/>
          <w:bCs/>
          <w:spacing w:val="-1"/>
        </w:rPr>
      </w:pPr>
      <w:r>
        <w:rPr>
          <w:rFonts w:ascii="Calibri" w:eastAsia="Calibri" w:hAnsi="Calibri" w:cs="Calibri"/>
          <w:b/>
          <w:bCs/>
          <w:spacing w:val="-1"/>
        </w:rPr>
        <w:t xml:space="preserve">Schedule of Expenditures of Federal Awards (SEFA) and </w:t>
      </w:r>
    </w:p>
    <w:p w14:paraId="791FE829" w14:textId="001824CE" w:rsidR="00D964AF" w:rsidRDefault="00D964AF" w:rsidP="00D964AF">
      <w:pPr>
        <w:spacing w:after="0" w:line="240" w:lineRule="auto"/>
        <w:ind w:right="585"/>
        <w:jc w:val="center"/>
        <w:rPr>
          <w:rFonts w:ascii="Calibri" w:eastAsia="Calibri" w:hAnsi="Calibri" w:cs="Calibri"/>
          <w:b/>
          <w:bCs/>
          <w:spacing w:val="-1"/>
        </w:rPr>
      </w:pPr>
      <w:r>
        <w:rPr>
          <w:rFonts w:ascii="Calibri" w:eastAsia="Calibri" w:hAnsi="Calibri" w:cs="Calibri"/>
          <w:b/>
          <w:bCs/>
          <w:spacing w:val="-1"/>
        </w:rPr>
        <w:t>Supplementary Information Schedule Tip Sheet</w:t>
      </w:r>
    </w:p>
    <w:p w14:paraId="022C57C9" w14:textId="77777777" w:rsidR="00E23226" w:rsidRDefault="00E23226" w:rsidP="00D964AF">
      <w:pPr>
        <w:spacing w:before="1" w:after="0" w:line="240" w:lineRule="exact"/>
        <w:rPr>
          <w:rFonts w:ascii="Calibri" w:eastAsia="Calibri" w:hAnsi="Calibri" w:cs="Calibri"/>
          <w:spacing w:val="-1"/>
          <w:sz w:val="20"/>
          <w:szCs w:val="20"/>
        </w:rPr>
      </w:pPr>
    </w:p>
    <w:p w14:paraId="63D26151" w14:textId="0464EC2A" w:rsidR="009672A7" w:rsidRDefault="009672A7" w:rsidP="222E7F0F">
      <w:pPr>
        <w:pStyle w:val="NoSpacing"/>
        <w:spacing w:after="240"/>
        <w:rPr>
          <w:b/>
          <w:bCs/>
          <w:sz w:val="20"/>
          <w:szCs w:val="20"/>
          <w:u w:val="single"/>
        </w:rPr>
      </w:pPr>
    </w:p>
    <w:p w14:paraId="11C64975" w14:textId="23721C5C" w:rsidR="00CB6ADD" w:rsidRDefault="1CCE8BBC" w:rsidP="222E7F0F">
      <w:pPr>
        <w:pStyle w:val="NoSpacing"/>
        <w:spacing w:after="240"/>
        <w:rPr>
          <w:b/>
          <w:bCs/>
          <w:sz w:val="24"/>
          <w:szCs w:val="24"/>
          <w:u w:val="single"/>
        </w:rPr>
      </w:pPr>
      <w:r w:rsidRPr="473EF3AE">
        <w:rPr>
          <w:b/>
          <w:bCs/>
          <w:sz w:val="24"/>
          <w:szCs w:val="24"/>
          <w:u w:val="single"/>
        </w:rPr>
        <w:t>I</w:t>
      </w:r>
      <w:r w:rsidR="305C3979" w:rsidRPr="473EF3AE">
        <w:rPr>
          <w:b/>
          <w:bCs/>
          <w:sz w:val="24"/>
          <w:szCs w:val="24"/>
          <w:u w:val="single"/>
        </w:rPr>
        <w:t>nitial Review:</w:t>
      </w:r>
    </w:p>
    <w:p w14:paraId="5204B6C7" w14:textId="7DBA82DE" w:rsidR="00CB6ADD" w:rsidRPr="007733A1" w:rsidRDefault="305C3979" w:rsidP="222E7F0F">
      <w:pPr>
        <w:pStyle w:val="NoSpacing"/>
        <w:numPr>
          <w:ilvl w:val="0"/>
          <w:numId w:val="13"/>
        </w:numPr>
        <w:spacing w:after="240"/>
        <w:rPr>
          <w:sz w:val="20"/>
          <w:szCs w:val="20"/>
        </w:rPr>
      </w:pPr>
      <w:r w:rsidRPr="007733A1">
        <w:rPr>
          <w:sz w:val="20"/>
          <w:szCs w:val="20"/>
        </w:rPr>
        <w:t xml:space="preserve">Review TN_GR06_SEFA_EXP to ensure the Fed </w:t>
      </w:r>
      <w:proofErr w:type="spellStart"/>
      <w:r w:rsidRPr="007733A1">
        <w:rPr>
          <w:sz w:val="20"/>
          <w:szCs w:val="20"/>
        </w:rPr>
        <w:t>Awd</w:t>
      </w:r>
      <w:proofErr w:type="spellEnd"/>
      <w:r w:rsidRPr="007733A1">
        <w:rPr>
          <w:sz w:val="20"/>
          <w:szCs w:val="20"/>
        </w:rPr>
        <w:t xml:space="preserve"> ID# </w:t>
      </w:r>
      <w:r w:rsidR="00261408" w:rsidRPr="007733A1">
        <w:rPr>
          <w:sz w:val="20"/>
          <w:szCs w:val="20"/>
        </w:rPr>
        <w:t>i</w:t>
      </w:r>
      <w:r w:rsidRPr="007733A1">
        <w:rPr>
          <w:sz w:val="20"/>
          <w:szCs w:val="20"/>
        </w:rPr>
        <w:t xml:space="preserve">s populated for all lines.  For blank lines, the Fed </w:t>
      </w:r>
      <w:proofErr w:type="spellStart"/>
      <w:r w:rsidRPr="007733A1">
        <w:rPr>
          <w:sz w:val="20"/>
          <w:szCs w:val="20"/>
        </w:rPr>
        <w:t>Awd</w:t>
      </w:r>
      <w:proofErr w:type="spellEnd"/>
      <w:r w:rsidRPr="007733A1">
        <w:rPr>
          <w:sz w:val="20"/>
          <w:szCs w:val="20"/>
        </w:rPr>
        <w:t xml:space="preserve"> ID# can be populated by doing the following:</w:t>
      </w:r>
    </w:p>
    <w:p w14:paraId="77CA66D8" w14:textId="77777777" w:rsidR="00CB6ADD" w:rsidRPr="007733A1" w:rsidRDefault="305C3979" w:rsidP="222E7F0F">
      <w:pPr>
        <w:pStyle w:val="NoSpacing"/>
        <w:numPr>
          <w:ilvl w:val="1"/>
          <w:numId w:val="13"/>
        </w:numPr>
        <w:spacing w:after="240"/>
        <w:rPr>
          <w:sz w:val="20"/>
          <w:szCs w:val="20"/>
        </w:rPr>
      </w:pPr>
      <w:r w:rsidRPr="007733A1">
        <w:rPr>
          <w:sz w:val="20"/>
          <w:szCs w:val="20"/>
        </w:rPr>
        <w:t xml:space="preserve"> Navigate to the Award Profile - FSCM&gt; Grants&gt; Awards&gt; Award Profile.</w:t>
      </w:r>
    </w:p>
    <w:p w14:paraId="420DC6F0" w14:textId="2862A2F9" w:rsidR="00CB6ADD" w:rsidRPr="007733A1" w:rsidRDefault="305C3979" w:rsidP="222E7F0F">
      <w:pPr>
        <w:pStyle w:val="NoSpacing"/>
        <w:numPr>
          <w:ilvl w:val="1"/>
          <w:numId w:val="13"/>
        </w:numPr>
        <w:spacing w:after="240"/>
        <w:rPr>
          <w:sz w:val="20"/>
          <w:szCs w:val="20"/>
        </w:rPr>
      </w:pPr>
      <w:r w:rsidRPr="007733A1">
        <w:rPr>
          <w:sz w:val="20"/>
          <w:szCs w:val="20"/>
        </w:rPr>
        <w:t xml:space="preserve"> Enter the Federal Award ID in the correct field and </w:t>
      </w:r>
      <w:proofErr w:type="gramStart"/>
      <w:r w:rsidRPr="007733A1">
        <w:rPr>
          <w:sz w:val="20"/>
          <w:szCs w:val="20"/>
        </w:rPr>
        <w:t>Save</w:t>
      </w:r>
      <w:proofErr w:type="gramEnd"/>
      <w:r w:rsidRPr="007733A1">
        <w:rPr>
          <w:sz w:val="20"/>
          <w:szCs w:val="20"/>
        </w:rPr>
        <w:t xml:space="preserve">.  </w:t>
      </w:r>
    </w:p>
    <w:p w14:paraId="7BDAD031" w14:textId="750D9F2C" w:rsidR="00CB6ADD" w:rsidRPr="007733A1" w:rsidRDefault="305C3979" w:rsidP="222E7F0F">
      <w:pPr>
        <w:pStyle w:val="NoSpacing"/>
        <w:spacing w:after="240"/>
        <w:ind w:left="720"/>
        <w:rPr>
          <w:sz w:val="20"/>
          <w:szCs w:val="20"/>
        </w:rPr>
      </w:pPr>
      <w:r w:rsidRPr="007733A1">
        <w:rPr>
          <w:sz w:val="20"/>
          <w:szCs w:val="20"/>
        </w:rPr>
        <w:t>The next time the TN_GR06 query is r</w:t>
      </w:r>
      <w:r w:rsidR="007733A1" w:rsidRPr="007733A1">
        <w:rPr>
          <w:sz w:val="20"/>
          <w:szCs w:val="20"/>
        </w:rPr>
        <w:t>an</w:t>
      </w:r>
      <w:r w:rsidRPr="007733A1">
        <w:rPr>
          <w:sz w:val="20"/>
          <w:szCs w:val="20"/>
        </w:rPr>
        <w:t>, the field(s) will be populated.</w:t>
      </w:r>
      <w:r w:rsidR="00261408" w:rsidRPr="007733A1">
        <w:rPr>
          <w:sz w:val="20"/>
          <w:szCs w:val="20"/>
        </w:rPr>
        <w:t xml:space="preserve">  The Fed </w:t>
      </w:r>
      <w:proofErr w:type="spellStart"/>
      <w:r w:rsidR="00261408" w:rsidRPr="007733A1">
        <w:rPr>
          <w:sz w:val="20"/>
          <w:szCs w:val="20"/>
        </w:rPr>
        <w:t>Awd</w:t>
      </w:r>
      <w:proofErr w:type="spellEnd"/>
      <w:r w:rsidR="00261408" w:rsidRPr="007733A1">
        <w:rPr>
          <w:sz w:val="20"/>
          <w:szCs w:val="20"/>
        </w:rPr>
        <w:t xml:space="preserve"> ID# should be populated with the Notice of Grant Award.</w:t>
      </w:r>
    </w:p>
    <w:p w14:paraId="4335C983" w14:textId="2691916A" w:rsidR="003D0917" w:rsidRPr="007733A1" w:rsidRDefault="003D0917" w:rsidP="003D0917">
      <w:pPr>
        <w:pStyle w:val="NoSpacing"/>
        <w:numPr>
          <w:ilvl w:val="0"/>
          <w:numId w:val="13"/>
        </w:numPr>
        <w:spacing w:after="240"/>
        <w:rPr>
          <w:sz w:val="20"/>
          <w:szCs w:val="20"/>
        </w:rPr>
      </w:pPr>
      <w:r w:rsidRPr="007733A1">
        <w:rPr>
          <w:sz w:val="20"/>
          <w:szCs w:val="20"/>
        </w:rPr>
        <w:t xml:space="preserve">Review TN_GR06S_SEFA_SUPPL to ensure the </w:t>
      </w:r>
      <w:r w:rsidR="00261408" w:rsidRPr="007733A1">
        <w:rPr>
          <w:sz w:val="20"/>
          <w:szCs w:val="20"/>
        </w:rPr>
        <w:t xml:space="preserve">Ref </w:t>
      </w:r>
      <w:proofErr w:type="spellStart"/>
      <w:r w:rsidR="00261408" w:rsidRPr="007733A1">
        <w:rPr>
          <w:sz w:val="20"/>
          <w:szCs w:val="20"/>
        </w:rPr>
        <w:t>Awrd</w:t>
      </w:r>
      <w:proofErr w:type="spellEnd"/>
      <w:r w:rsidR="00261408" w:rsidRPr="007733A1">
        <w:rPr>
          <w:sz w:val="20"/>
          <w:szCs w:val="20"/>
        </w:rPr>
        <w:t xml:space="preserve"> # and </w:t>
      </w:r>
      <w:r w:rsidRPr="007733A1">
        <w:rPr>
          <w:sz w:val="20"/>
          <w:szCs w:val="20"/>
        </w:rPr>
        <w:t xml:space="preserve">Fed </w:t>
      </w:r>
      <w:proofErr w:type="spellStart"/>
      <w:r w:rsidRPr="007733A1">
        <w:rPr>
          <w:sz w:val="20"/>
          <w:szCs w:val="20"/>
        </w:rPr>
        <w:t>Awd</w:t>
      </w:r>
      <w:proofErr w:type="spellEnd"/>
      <w:r w:rsidRPr="007733A1">
        <w:rPr>
          <w:sz w:val="20"/>
          <w:szCs w:val="20"/>
        </w:rPr>
        <w:t xml:space="preserve"> ID# </w:t>
      </w:r>
      <w:r w:rsidR="00261408" w:rsidRPr="007733A1">
        <w:rPr>
          <w:sz w:val="20"/>
          <w:szCs w:val="20"/>
        </w:rPr>
        <w:t xml:space="preserve">are </w:t>
      </w:r>
      <w:r w:rsidRPr="007733A1">
        <w:rPr>
          <w:sz w:val="20"/>
          <w:szCs w:val="20"/>
        </w:rPr>
        <w:t xml:space="preserve">populated for all lines.  For blank lines, the Fed </w:t>
      </w:r>
      <w:proofErr w:type="spellStart"/>
      <w:r w:rsidRPr="007733A1">
        <w:rPr>
          <w:sz w:val="20"/>
          <w:szCs w:val="20"/>
        </w:rPr>
        <w:t>Awd</w:t>
      </w:r>
      <w:proofErr w:type="spellEnd"/>
      <w:r w:rsidRPr="007733A1">
        <w:rPr>
          <w:sz w:val="20"/>
          <w:szCs w:val="20"/>
        </w:rPr>
        <w:t xml:space="preserve"> ID# can be populated by doing the following:</w:t>
      </w:r>
    </w:p>
    <w:p w14:paraId="01807F16" w14:textId="77777777" w:rsidR="003D0917" w:rsidRPr="007733A1" w:rsidRDefault="003D0917" w:rsidP="003D0917">
      <w:pPr>
        <w:pStyle w:val="NoSpacing"/>
        <w:numPr>
          <w:ilvl w:val="1"/>
          <w:numId w:val="13"/>
        </w:numPr>
        <w:spacing w:after="240"/>
        <w:rPr>
          <w:sz w:val="20"/>
          <w:szCs w:val="20"/>
        </w:rPr>
      </w:pPr>
      <w:r w:rsidRPr="007733A1">
        <w:rPr>
          <w:sz w:val="20"/>
          <w:szCs w:val="20"/>
        </w:rPr>
        <w:t xml:space="preserve"> Navigate to the Award Profile - FSCM&gt; Grants&gt; Awards&gt; Award Profile.</w:t>
      </w:r>
    </w:p>
    <w:p w14:paraId="3029808F" w14:textId="3DABBF64" w:rsidR="003D0917" w:rsidRPr="007733A1" w:rsidRDefault="003D0917" w:rsidP="007733A1">
      <w:pPr>
        <w:pStyle w:val="NoSpacing"/>
        <w:numPr>
          <w:ilvl w:val="1"/>
          <w:numId w:val="13"/>
        </w:numPr>
        <w:spacing w:after="240"/>
        <w:rPr>
          <w:sz w:val="20"/>
          <w:szCs w:val="20"/>
        </w:rPr>
      </w:pPr>
      <w:r w:rsidRPr="007733A1">
        <w:rPr>
          <w:sz w:val="20"/>
          <w:szCs w:val="20"/>
        </w:rPr>
        <w:t xml:space="preserve"> Enter the Federal Award ID in the correct field and </w:t>
      </w:r>
      <w:proofErr w:type="gramStart"/>
      <w:r w:rsidRPr="007733A1">
        <w:rPr>
          <w:sz w:val="20"/>
          <w:szCs w:val="20"/>
        </w:rPr>
        <w:t>Save</w:t>
      </w:r>
      <w:proofErr w:type="gramEnd"/>
      <w:r w:rsidRPr="007733A1">
        <w:rPr>
          <w:sz w:val="20"/>
          <w:szCs w:val="20"/>
        </w:rPr>
        <w:t xml:space="preserve">.  </w:t>
      </w:r>
    </w:p>
    <w:p w14:paraId="22322B8C" w14:textId="2199C862" w:rsidR="00CB6ADD" w:rsidRPr="007733A1" w:rsidRDefault="007733A1" w:rsidP="007733A1">
      <w:pPr>
        <w:pStyle w:val="NoSpacing"/>
        <w:spacing w:after="240"/>
        <w:ind w:left="720"/>
        <w:rPr>
          <w:sz w:val="20"/>
          <w:szCs w:val="20"/>
        </w:rPr>
      </w:pPr>
      <w:r w:rsidRPr="007733A1">
        <w:rPr>
          <w:sz w:val="20"/>
          <w:szCs w:val="20"/>
        </w:rPr>
        <w:t xml:space="preserve">The next time the TNGR06S query is ran, the fields will be populated.  </w:t>
      </w:r>
      <w:r w:rsidR="00AA49A4" w:rsidRPr="007733A1">
        <w:rPr>
          <w:sz w:val="20"/>
          <w:szCs w:val="20"/>
        </w:rPr>
        <w:t>For</w:t>
      </w:r>
      <w:r w:rsidR="07161233" w:rsidRPr="007733A1">
        <w:rPr>
          <w:sz w:val="20"/>
          <w:szCs w:val="20"/>
        </w:rPr>
        <w:t xml:space="preserve"> Federal pass-through grants, the Ref </w:t>
      </w:r>
      <w:proofErr w:type="spellStart"/>
      <w:r w:rsidR="07161233" w:rsidRPr="007733A1">
        <w:rPr>
          <w:sz w:val="20"/>
          <w:szCs w:val="20"/>
        </w:rPr>
        <w:t>Awrd</w:t>
      </w:r>
      <w:proofErr w:type="spellEnd"/>
      <w:r w:rsidR="07161233" w:rsidRPr="007733A1">
        <w:rPr>
          <w:sz w:val="20"/>
          <w:szCs w:val="20"/>
        </w:rPr>
        <w:t xml:space="preserve"> # should be the interdepartmental supplier contract number. To connect the pass-through dollars to a Federal Award, the Fed Award ID# should be the primary state agency’s Notice of Grant Award.</w:t>
      </w:r>
    </w:p>
    <w:p w14:paraId="77A97776" w14:textId="4168E660" w:rsidR="00CB6ADD" w:rsidRDefault="3DB63138" w:rsidP="222E7F0F">
      <w:pPr>
        <w:pStyle w:val="NoSpacing"/>
        <w:spacing w:after="240"/>
        <w:rPr>
          <w:b/>
          <w:bCs/>
          <w:sz w:val="24"/>
          <w:szCs w:val="24"/>
          <w:u w:val="single"/>
        </w:rPr>
      </w:pPr>
      <w:r w:rsidRPr="473EF3AE">
        <w:rPr>
          <w:b/>
          <w:bCs/>
          <w:sz w:val="24"/>
          <w:szCs w:val="24"/>
          <w:u w:val="single"/>
        </w:rPr>
        <w:t>Schedule Preparation:</w:t>
      </w:r>
    </w:p>
    <w:p w14:paraId="7C08455D" w14:textId="4267CBCB" w:rsidR="39EEFE82" w:rsidRDefault="39EEFE82" w:rsidP="473EF3AE">
      <w:pPr>
        <w:pStyle w:val="NoSpacing"/>
        <w:numPr>
          <w:ilvl w:val="0"/>
          <w:numId w:val="2"/>
        </w:numPr>
        <w:spacing w:after="240"/>
        <w:ind w:left="360"/>
        <w:rPr>
          <w:sz w:val="20"/>
          <w:szCs w:val="20"/>
        </w:rPr>
      </w:pPr>
      <w:r w:rsidRPr="473EF3AE">
        <w:rPr>
          <w:b/>
          <w:bCs/>
          <w:sz w:val="20"/>
          <w:szCs w:val="20"/>
        </w:rPr>
        <w:t>Schedule of Expenditure of Federal Awards (SEFA)</w:t>
      </w:r>
      <w:r w:rsidR="6B89877D" w:rsidRPr="473EF3AE">
        <w:rPr>
          <w:b/>
          <w:bCs/>
          <w:sz w:val="20"/>
          <w:szCs w:val="20"/>
        </w:rPr>
        <w:t xml:space="preserve"> </w:t>
      </w:r>
      <w:r w:rsidR="6B89877D" w:rsidRPr="473EF3AE">
        <w:rPr>
          <w:sz w:val="20"/>
          <w:szCs w:val="20"/>
        </w:rPr>
        <w:t>reports Federal dollars received directly from the Federal government or from other entities (counties, other states, etc.).</w:t>
      </w:r>
    </w:p>
    <w:p w14:paraId="60CA01FE" w14:textId="54FAFC16" w:rsidR="6B89877D" w:rsidRDefault="6B89877D" w:rsidP="736FFF80">
      <w:pPr>
        <w:pStyle w:val="NoSpacing"/>
        <w:numPr>
          <w:ilvl w:val="0"/>
          <w:numId w:val="11"/>
        </w:numPr>
        <w:spacing w:after="240"/>
        <w:rPr>
          <w:sz w:val="20"/>
          <w:szCs w:val="20"/>
        </w:rPr>
      </w:pPr>
      <w:r w:rsidRPr="736FFF80">
        <w:rPr>
          <w:sz w:val="20"/>
          <w:szCs w:val="20"/>
        </w:rPr>
        <w:t xml:space="preserve">TN_GR06_SEFA_EXP – Summary of expenditures by </w:t>
      </w:r>
      <w:r w:rsidR="2AA11C1E" w:rsidRPr="736FFF80">
        <w:rPr>
          <w:sz w:val="20"/>
          <w:szCs w:val="20"/>
        </w:rPr>
        <w:t>project</w:t>
      </w:r>
      <w:r w:rsidRPr="736FFF80">
        <w:rPr>
          <w:sz w:val="20"/>
          <w:szCs w:val="20"/>
        </w:rPr>
        <w:t xml:space="preserve"> for use in preparing SEFA</w:t>
      </w:r>
      <w:r w:rsidR="22526775" w:rsidRPr="736FFF80">
        <w:rPr>
          <w:sz w:val="20"/>
          <w:szCs w:val="20"/>
        </w:rPr>
        <w:t>.</w:t>
      </w:r>
    </w:p>
    <w:p w14:paraId="3FDE754C" w14:textId="779E0061" w:rsidR="6B89877D" w:rsidRDefault="6B89877D" w:rsidP="473EF3AE">
      <w:pPr>
        <w:pStyle w:val="NoSpacing"/>
        <w:numPr>
          <w:ilvl w:val="0"/>
          <w:numId w:val="11"/>
        </w:numPr>
        <w:spacing w:after="240"/>
        <w:rPr>
          <w:sz w:val="20"/>
          <w:szCs w:val="20"/>
        </w:rPr>
      </w:pPr>
      <w:r w:rsidRPr="473EF3AE">
        <w:rPr>
          <w:sz w:val="20"/>
          <w:szCs w:val="20"/>
        </w:rPr>
        <w:t xml:space="preserve">TN_GR06_V_SEFA_DETAILS – detailed transactions to support the summary amounts on TN_GR06_SEFA_EXP.  </w:t>
      </w:r>
    </w:p>
    <w:p w14:paraId="462E9B2C" w14:textId="3290257F" w:rsidR="6B89877D" w:rsidRDefault="6B89877D" w:rsidP="736FFF80">
      <w:pPr>
        <w:pStyle w:val="NoSpacing"/>
        <w:numPr>
          <w:ilvl w:val="1"/>
          <w:numId w:val="11"/>
        </w:numPr>
        <w:spacing w:after="240"/>
        <w:rPr>
          <w:sz w:val="20"/>
          <w:szCs w:val="20"/>
        </w:rPr>
      </w:pPr>
      <w:r w:rsidRPr="736FFF80">
        <w:rPr>
          <w:sz w:val="20"/>
          <w:szCs w:val="20"/>
        </w:rPr>
        <w:t>This query is used to identify federal dollars passed to subrecipients which is required to be reported on the SEFA.</w:t>
      </w:r>
    </w:p>
    <w:p w14:paraId="3A9029F0" w14:textId="4FCEE92E" w:rsidR="52A52E15" w:rsidRDefault="74C1F8D9" w:rsidP="473EF3AE">
      <w:pPr>
        <w:pStyle w:val="NoSpacing"/>
        <w:spacing w:after="240"/>
        <w:ind w:left="360"/>
        <w:rPr>
          <w:b/>
          <w:bCs/>
          <w:sz w:val="20"/>
          <w:szCs w:val="20"/>
        </w:rPr>
      </w:pPr>
      <w:r w:rsidRPr="736FFF80">
        <w:rPr>
          <w:b/>
          <w:bCs/>
          <w:sz w:val="20"/>
          <w:szCs w:val="20"/>
        </w:rPr>
        <w:t xml:space="preserve">Query Results:  </w:t>
      </w:r>
      <w:r w:rsidR="52A52E15" w:rsidRPr="736FFF80">
        <w:rPr>
          <w:b/>
          <w:bCs/>
          <w:sz w:val="20"/>
          <w:szCs w:val="20"/>
        </w:rPr>
        <w:t>Analyzing Query Results:</w:t>
      </w:r>
    </w:p>
    <w:p w14:paraId="5FDB8035" w14:textId="77777777" w:rsidR="3E409B54" w:rsidRDefault="3E409B54" w:rsidP="473EF3AE">
      <w:pPr>
        <w:pStyle w:val="NoSpacing"/>
        <w:ind w:left="560"/>
        <w:rPr>
          <w:sz w:val="20"/>
          <w:szCs w:val="20"/>
        </w:rPr>
      </w:pPr>
      <w:r w:rsidRPr="473EF3AE">
        <w:rPr>
          <w:sz w:val="20"/>
          <w:szCs w:val="20"/>
        </w:rPr>
        <w:t xml:space="preserve">The query results should be put in a pivot table format with </w:t>
      </w:r>
    </w:p>
    <w:p w14:paraId="2AF62760" w14:textId="77777777" w:rsidR="3E409B54" w:rsidRDefault="3E409B54" w:rsidP="473EF3AE">
      <w:pPr>
        <w:pStyle w:val="NoSpacing"/>
        <w:numPr>
          <w:ilvl w:val="0"/>
          <w:numId w:val="10"/>
        </w:numPr>
        <w:rPr>
          <w:sz w:val="20"/>
          <w:szCs w:val="20"/>
        </w:rPr>
      </w:pPr>
      <w:r w:rsidRPr="473EF3AE">
        <w:rPr>
          <w:sz w:val="20"/>
          <w:szCs w:val="20"/>
        </w:rPr>
        <w:t xml:space="preserve">Grantor Name, PC BU, Program Name, Award Begin, Award End, CFDA, and “Ref </w:t>
      </w:r>
      <w:proofErr w:type="spellStart"/>
      <w:r w:rsidRPr="473EF3AE">
        <w:rPr>
          <w:sz w:val="20"/>
          <w:szCs w:val="20"/>
        </w:rPr>
        <w:t>Awd</w:t>
      </w:r>
      <w:proofErr w:type="spellEnd"/>
      <w:r w:rsidRPr="473EF3AE">
        <w:rPr>
          <w:sz w:val="20"/>
          <w:szCs w:val="20"/>
        </w:rPr>
        <w:t xml:space="preserve"> Num”/Reference Award Number (Other Identifying #) in the row field and </w:t>
      </w:r>
    </w:p>
    <w:p w14:paraId="0DC19893" w14:textId="587621AD" w:rsidR="3E409B54" w:rsidRDefault="00BB4E5E" w:rsidP="473EF3AE">
      <w:pPr>
        <w:pStyle w:val="NoSpacing"/>
        <w:numPr>
          <w:ilvl w:val="0"/>
          <w:numId w:val="10"/>
        </w:numPr>
        <w:rPr>
          <w:sz w:val="20"/>
          <w:szCs w:val="20"/>
        </w:rPr>
      </w:pPr>
      <w:r>
        <w:rPr>
          <w:sz w:val="20"/>
          <w:szCs w:val="20"/>
        </w:rPr>
        <w:t>A</w:t>
      </w:r>
      <w:r w:rsidR="3E409B54" w:rsidRPr="473EF3AE">
        <w:rPr>
          <w:sz w:val="20"/>
          <w:szCs w:val="20"/>
        </w:rPr>
        <w:t xml:space="preserve">mount in the </w:t>
      </w:r>
      <w:r w:rsidR="3E409B54" w:rsidRPr="473EF3AE">
        <w:rPr>
          <w:rFonts w:ascii="Arial" w:hAnsi="Arial" w:cs="Arial"/>
          <w:sz w:val="20"/>
          <w:szCs w:val="20"/>
        </w:rPr>
        <w:t>sum</w:t>
      </w:r>
      <w:r w:rsidR="3E409B54" w:rsidRPr="473EF3AE">
        <w:rPr>
          <w:sz w:val="20"/>
          <w:szCs w:val="20"/>
        </w:rPr>
        <w:t xml:space="preserve"> of the pivot table.</w:t>
      </w:r>
    </w:p>
    <w:p w14:paraId="0BBD48D3" w14:textId="2B9327EE" w:rsidR="473EF3AE" w:rsidRDefault="473EF3AE" w:rsidP="473EF3AE">
      <w:pPr>
        <w:pStyle w:val="NoSpacing"/>
        <w:spacing w:after="240"/>
        <w:ind w:left="360"/>
        <w:rPr>
          <w:b/>
          <w:bCs/>
          <w:sz w:val="20"/>
          <w:szCs w:val="20"/>
        </w:rPr>
      </w:pPr>
    </w:p>
    <w:p w14:paraId="00FE8D59" w14:textId="02E1F0D2" w:rsidR="7B94EFA6" w:rsidRDefault="7B94EFA6" w:rsidP="473EF3AE">
      <w:pPr>
        <w:pStyle w:val="NoSpacing"/>
        <w:spacing w:after="240"/>
        <w:ind w:left="360"/>
        <w:rPr>
          <w:b/>
          <w:bCs/>
          <w:sz w:val="20"/>
          <w:szCs w:val="20"/>
        </w:rPr>
      </w:pPr>
      <w:r w:rsidRPr="473EF3AE">
        <w:rPr>
          <w:b/>
          <w:bCs/>
          <w:sz w:val="20"/>
          <w:szCs w:val="20"/>
        </w:rPr>
        <w:t xml:space="preserve">Known </w:t>
      </w:r>
      <w:r w:rsidR="7C19CDF6" w:rsidRPr="473EF3AE">
        <w:rPr>
          <w:b/>
          <w:bCs/>
          <w:sz w:val="20"/>
          <w:szCs w:val="20"/>
        </w:rPr>
        <w:t>Cause</w:t>
      </w:r>
      <w:r w:rsidR="19125214" w:rsidRPr="473EF3AE">
        <w:rPr>
          <w:b/>
          <w:bCs/>
          <w:sz w:val="20"/>
          <w:szCs w:val="20"/>
        </w:rPr>
        <w:t>s</w:t>
      </w:r>
      <w:r w:rsidR="7C19CDF6" w:rsidRPr="473EF3AE">
        <w:rPr>
          <w:b/>
          <w:bCs/>
          <w:sz w:val="20"/>
          <w:szCs w:val="20"/>
        </w:rPr>
        <w:t xml:space="preserve"> of Reconciling Items</w:t>
      </w:r>
      <w:r w:rsidR="2A4E5F0E" w:rsidRPr="473EF3AE">
        <w:rPr>
          <w:b/>
          <w:bCs/>
          <w:sz w:val="20"/>
          <w:szCs w:val="20"/>
        </w:rPr>
        <w:t>:</w:t>
      </w:r>
    </w:p>
    <w:p w14:paraId="4015F528" w14:textId="6629F06F" w:rsidR="008E6BAF" w:rsidRDefault="008E6BAF" w:rsidP="473EF3AE">
      <w:pPr>
        <w:pStyle w:val="NoSpacing"/>
        <w:widowControl/>
        <w:numPr>
          <w:ilvl w:val="0"/>
          <w:numId w:val="11"/>
        </w:numPr>
        <w:rPr>
          <w:sz w:val="20"/>
          <w:szCs w:val="20"/>
        </w:rPr>
      </w:pPr>
      <w:r w:rsidRPr="736FFF80">
        <w:rPr>
          <w:sz w:val="20"/>
          <w:szCs w:val="20"/>
        </w:rPr>
        <w:lastRenderedPageBreak/>
        <w:t xml:space="preserve">Revenue recognized on a journal entry or a direct journal deposit and not recognized through projects would not </w:t>
      </w:r>
      <w:r w:rsidR="57A926DE" w:rsidRPr="736FFF80">
        <w:rPr>
          <w:sz w:val="20"/>
          <w:szCs w:val="20"/>
        </w:rPr>
        <w:t>be</w:t>
      </w:r>
      <w:r w:rsidRPr="736FFF80">
        <w:rPr>
          <w:sz w:val="20"/>
          <w:szCs w:val="20"/>
        </w:rPr>
        <w:t xml:space="preserve"> on the SEFA query and would be a reconciling item.</w:t>
      </w:r>
    </w:p>
    <w:p w14:paraId="76B242F7" w14:textId="306A655B" w:rsidR="57CB6D86" w:rsidRDefault="57CB6D86" w:rsidP="736FFF80">
      <w:pPr>
        <w:pStyle w:val="NoSpacing"/>
        <w:widowControl/>
        <w:numPr>
          <w:ilvl w:val="0"/>
          <w:numId w:val="11"/>
        </w:numPr>
        <w:rPr>
          <w:sz w:val="20"/>
          <w:szCs w:val="20"/>
        </w:rPr>
      </w:pPr>
      <w:r w:rsidRPr="736FFF80">
        <w:rPr>
          <w:sz w:val="20"/>
          <w:szCs w:val="20"/>
        </w:rPr>
        <w:t xml:space="preserve">Projects with Rate Sets </w:t>
      </w:r>
      <w:r w:rsidR="5D07BB65" w:rsidRPr="736FFF80">
        <w:rPr>
          <w:sz w:val="20"/>
          <w:szCs w:val="20"/>
        </w:rPr>
        <w:t>68030, 68050, 68060, 68070, 68080 that have a PTFED Activity Type.</w:t>
      </w:r>
    </w:p>
    <w:p w14:paraId="256AD939" w14:textId="38D860DD" w:rsidR="008E6BAF" w:rsidRDefault="5A512361" w:rsidP="473EF3AE">
      <w:pPr>
        <w:pStyle w:val="NoSpacing"/>
        <w:widowControl/>
        <w:numPr>
          <w:ilvl w:val="0"/>
          <w:numId w:val="11"/>
        </w:numPr>
        <w:rPr>
          <w:sz w:val="20"/>
          <w:szCs w:val="20"/>
        </w:rPr>
      </w:pPr>
      <w:r w:rsidRPr="736FFF80">
        <w:rPr>
          <w:sz w:val="20"/>
          <w:szCs w:val="20"/>
        </w:rPr>
        <w:t xml:space="preserve">If expenditures </w:t>
      </w:r>
      <w:r w:rsidR="4FC84195" w:rsidRPr="736FFF80">
        <w:rPr>
          <w:sz w:val="20"/>
          <w:szCs w:val="20"/>
        </w:rPr>
        <w:t xml:space="preserve">charged </w:t>
      </w:r>
      <w:r w:rsidRPr="736FFF80">
        <w:rPr>
          <w:sz w:val="20"/>
          <w:szCs w:val="20"/>
        </w:rPr>
        <w:t xml:space="preserve">to a Project ID that is not associated with a </w:t>
      </w:r>
      <w:proofErr w:type="gramStart"/>
      <w:r w:rsidRPr="736FFF80">
        <w:rPr>
          <w:sz w:val="20"/>
          <w:szCs w:val="20"/>
        </w:rPr>
        <w:t>Customer</w:t>
      </w:r>
      <w:proofErr w:type="gramEnd"/>
      <w:r w:rsidRPr="736FFF80">
        <w:rPr>
          <w:sz w:val="20"/>
          <w:szCs w:val="20"/>
        </w:rPr>
        <w:t xml:space="preserve"> (revenue) Contract, the activity will </w:t>
      </w:r>
      <w:r w:rsidR="62F0ED9E" w:rsidRPr="736FFF80">
        <w:rPr>
          <w:sz w:val="20"/>
          <w:szCs w:val="20"/>
        </w:rPr>
        <w:t>not show on the SEFA query and would be a reconciling item.</w:t>
      </w:r>
    </w:p>
    <w:p w14:paraId="39F2B85C" w14:textId="101C77A8" w:rsidR="00E23226" w:rsidRDefault="00E23226" w:rsidP="00B25399">
      <w:pPr>
        <w:pStyle w:val="NoSpacing"/>
        <w:rPr>
          <w:sz w:val="20"/>
          <w:szCs w:val="20"/>
        </w:rPr>
      </w:pPr>
    </w:p>
    <w:p w14:paraId="311D77E5" w14:textId="77777777" w:rsidR="00E23226" w:rsidRDefault="00E23226" w:rsidP="00E23226">
      <w:pPr>
        <w:pStyle w:val="NoSpacing"/>
        <w:ind w:firstLine="720"/>
        <w:rPr>
          <w:sz w:val="20"/>
          <w:szCs w:val="20"/>
        </w:rPr>
      </w:pPr>
    </w:p>
    <w:p w14:paraId="13C9E704" w14:textId="68CA6E26" w:rsidR="00E23226" w:rsidRDefault="7C9E0018" w:rsidP="473EF3AE">
      <w:pPr>
        <w:pStyle w:val="NoSpacing"/>
        <w:spacing w:after="240"/>
        <w:rPr>
          <w:sz w:val="20"/>
          <w:szCs w:val="20"/>
        </w:rPr>
      </w:pPr>
      <w:r w:rsidRPr="473EF3AE">
        <w:rPr>
          <w:b/>
          <w:bCs/>
          <w:sz w:val="20"/>
          <w:szCs w:val="20"/>
        </w:rPr>
        <w:t xml:space="preserve">2.  </w:t>
      </w:r>
      <w:r w:rsidR="27C39F9A" w:rsidRPr="473EF3AE">
        <w:rPr>
          <w:b/>
          <w:bCs/>
          <w:sz w:val="20"/>
          <w:szCs w:val="20"/>
        </w:rPr>
        <w:t>Supplementary Information Schedule (SIS)</w:t>
      </w:r>
      <w:r w:rsidR="5E986F34" w:rsidRPr="473EF3AE">
        <w:rPr>
          <w:b/>
          <w:bCs/>
          <w:sz w:val="20"/>
          <w:szCs w:val="20"/>
        </w:rPr>
        <w:t xml:space="preserve"> </w:t>
      </w:r>
      <w:r w:rsidR="5E986F34" w:rsidRPr="473EF3AE">
        <w:rPr>
          <w:sz w:val="20"/>
          <w:szCs w:val="20"/>
        </w:rPr>
        <w:t>reports pass-through Federal dollars from another state agency.</w:t>
      </w:r>
    </w:p>
    <w:p w14:paraId="7532ACC4" w14:textId="007EBA5C" w:rsidR="473EF3AE" w:rsidRDefault="473EF3AE" w:rsidP="473EF3AE">
      <w:pPr>
        <w:pStyle w:val="NoSpacing"/>
        <w:rPr>
          <w:b/>
          <w:bCs/>
          <w:sz w:val="20"/>
          <w:szCs w:val="20"/>
        </w:rPr>
      </w:pPr>
    </w:p>
    <w:p w14:paraId="43B0366E" w14:textId="239B3D1C" w:rsidR="00E23226" w:rsidRDefault="00E23226" w:rsidP="00AB0CFF">
      <w:pPr>
        <w:pStyle w:val="NoSpacing"/>
        <w:widowControl/>
        <w:numPr>
          <w:ilvl w:val="0"/>
          <w:numId w:val="16"/>
        </w:numPr>
        <w:spacing w:after="240"/>
        <w:rPr>
          <w:sz w:val="20"/>
          <w:szCs w:val="20"/>
        </w:rPr>
      </w:pPr>
      <w:r w:rsidRPr="473EF3AE">
        <w:rPr>
          <w:b/>
          <w:bCs/>
          <w:sz w:val="20"/>
          <w:szCs w:val="20"/>
        </w:rPr>
        <w:t>TN_GR06S_SEFA_SUPPL</w:t>
      </w:r>
      <w:r w:rsidRPr="473EF3AE">
        <w:rPr>
          <w:sz w:val="20"/>
          <w:szCs w:val="20"/>
        </w:rPr>
        <w:t xml:space="preserve"> if Federal dollars are granted from another state agency</w:t>
      </w:r>
      <w:r w:rsidR="002C7E21">
        <w:rPr>
          <w:sz w:val="20"/>
          <w:szCs w:val="20"/>
        </w:rPr>
        <w:t>,</w:t>
      </w:r>
      <w:r w:rsidRPr="473EF3AE">
        <w:rPr>
          <w:sz w:val="20"/>
          <w:szCs w:val="20"/>
        </w:rPr>
        <w:t xml:space="preserve"> </w:t>
      </w:r>
      <w:r w:rsidR="002C7E21">
        <w:rPr>
          <w:sz w:val="20"/>
          <w:szCs w:val="20"/>
        </w:rPr>
        <w:t>t</w:t>
      </w:r>
      <w:r w:rsidRPr="473EF3AE">
        <w:rPr>
          <w:sz w:val="20"/>
          <w:szCs w:val="20"/>
        </w:rPr>
        <w:t xml:space="preserve">his query returns data </w:t>
      </w:r>
      <w:r w:rsidR="002C7E21">
        <w:rPr>
          <w:sz w:val="20"/>
          <w:szCs w:val="20"/>
        </w:rPr>
        <w:t>needed to prepare the SIS.</w:t>
      </w:r>
      <w:r w:rsidRPr="473EF3AE">
        <w:rPr>
          <w:sz w:val="20"/>
          <w:szCs w:val="20"/>
        </w:rPr>
        <w:t xml:space="preserve"> </w:t>
      </w:r>
    </w:p>
    <w:p w14:paraId="36C3C4A9" w14:textId="77777777" w:rsidR="00AF1561" w:rsidRDefault="00AF1561" w:rsidP="00BB4E5E">
      <w:pPr>
        <w:pStyle w:val="NoSpacing"/>
        <w:spacing w:after="240"/>
        <w:ind w:left="360"/>
        <w:rPr>
          <w:b/>
          <w:bCs/>
          <w:sz w:val="20"/>
          <w:szCs w:val="20"/>
        </w:rPr>
      </w:pPr>
      <w:r w:rsidRPr="736FFF80">
        <w:rPr>
          <w:b/>
          <w:bCs/>
          <w:sz w:val="20"/>
          <w:szCs w:val="20"/>
        </w:rPr>
        <w:t>Query Results:  Analyzing Query Results:</w:t>
      </w:r>
    </w:p>
    <w:p w14:paraId="7CF19691" w14:textId="586BFA9C" w:rsidR="00BB4E5E" w:rsidRDefault="00BB4E5E" w:rsidP="00BB4E5E">
      <w:pPr>
        <w:pStyle w:val="NoSpacing"/>
        <w:ind w:left="560"/>
        <w:rPr>
          <w:sz w:val="20"/>
          <w:szCs w:val="20"/>
        </w:rPr>
      </w:pPr>
      <w:r w:rsidRPr="473EF3AE">
        <w:rPr>
          <w:sz w:val="20"/>
          <w:szCs w:val="20"/>
        </w:rPr>
        <w:t>The query results should be put in a pivot table format with</w:t>
      </w:r>
      <w:r>
        <w:rPr>
          <w:sz w:val="20"/>
          <w:szCs w:val="20"/>
        </w:rPr>
        <w:t>:</w:t>
      </w:r>
    </w:p>
    <w:p w14:paraId="5261AE02" w14:textId="11E3FEA5" w:rsidR="00BB4E5E" w:rsidRPr="00BB4E5E" w:rsidRDefault="00BB4E5E" w:rsidP="00BB4E5E">
      <w:pPr>
        <w:pStyle w:val="NoSpacing"/>
        <w:numPr>
          <w:ilvl w:val="0"/>
          <w:numId w:val="10"/>
        </w:numPr>
        <w:rPr>
          <w:sz w:val="20"/>
          <w:szCs w:val="20"/>
        </w:rPr>
      </w:pPr>
      <w:r w:rsidRPr="00BB4E5E">
        <w:rPr>
          <w:sz w:val="20"/>
          <w:szCs w:val="20"/>
        </w:rPr>
        <w:t xml:space="preserve">Grantor Name, Program Name, Award Begin, Award End, CFDA, Ref </w:t>
      </w:r>
      <w:proofErr w:type="spellStart"/>
      <w:r w:rsidRPr="00BB4E5E">
        <w:rPr>
          <w:sz w:val="20"/>
          <w:szCs w:val="20"/>
        </w:rPr>
        <w:t>Awd</w:t>
      </w:r>
      <w:proofErr w:type="spellEnd"/>
      <w:r w:rsidRPr="00BB4E5E">
        <w:rPr>
          <w:sz w:val="20"/>
          <w:szCs w:val="20"/>
        </w:rPr>
        <w:t xml:space="preserve"> </w:t>
      </w:r>
      <w:r w:rsidR="00C575AC">
        <w:rPr>
          <w:sz w:val="20"/>
          <w:szCs w:val="20"/>
        </w:rPr>
        <w:t>#, Contract/Award, and Project ID</w:t>
      </w:r>
      <w:r w:rsidRPr="00BB4E5E">
        <w:rPr>
          <w:sz w:val="20"/>
          <w:szCs w:val="20"/>
        </w:rPr>
        <w:t xml:space="preserve"> in the row field and </w:t>
      </w:r>
    </w:p>
    <w:p w14:paraId="085D6C15" w14:textId="77777777" w:rsidR="00BB4E5E" w:rsidRPr="00BB4E5E" w:rsidRDefault="00BB4E5E" w:rsidP="00BB4E5E">
      <w:pPr>
        <w:pStyle w:val="NoSpacing"/>
        <w:numPr>
          <w:ilvl w:val="0"/>
          <w:numId w:val="10"/>
        </w:numPr>
        <w:rPr>
          <w:sz w:val="20"/>
          <w:szCs w:val="20"/>
        </w:rPr>
      </w:pPr>
      <w:r w:rsidRPr="00BB4E5E">
        <w:rPr>
          <w:sz w:val="20"/>
          <w:szCs w:val="20"/>
        </w:rPr>
        <w:t>Amount in the sum of the pivot table.</w:t>
      </w:r>
    </w:p>
    <w:p w14:paraId="324C9FBD" w14:textId="77777777" w:rsidR="00AF1561" w:rsidRDefault="00AF1561" w:rsidP="473EF3AE">
      <w:pPr>
        <w:pStyle w:val="NoSpacing"/>
        <w:widowControl/>
        <w:spacing w:after="240"/>
        <w:rPr>
          <w:b/>
          <w:bCs/>
          <w:sz w:val="20"/>
          <w:szCs w:val="20"/>
        </w:rPr>
      </w:pPr>
    </w:p>
    <w:p w14:paraId="228C4071" w14:textId="1575F0F7" w:rsidR="00A04D12" w:rsidRPr="00FB08ED" w:rsidRDefault="00C575AC" w:rsidP="00FB08ED">
      <w:pPr>
        <w:pStyle w:val="NoSpacing"/>
        <w:spacing w:after="240"/>
        <w:ind w:left="360"/>
        <w:rPr>
          <w:b/>
          <w:bCs/>
          <w:sz w:val="20"/>
          <w:szCs w:val="20"/>
        </w:rPr>
      </w:pPr>
      <w:r w:rsidRPr="473EF3AE">
        <w:rPr>
          <w:b/>
          <w:bCs/>
          <w:sz w:val="20"/>
          <w:szCs w:val="20"/>
        </w:rPr>
        <w:t>Known Causes of Reconciling Items:</w:t>
      </w:r>
    </w:p>
    <w:p w14:paraId="0A2CC9BB" w14:textId="77777777" w:rsidR="00A04D12" w:rsidRDefault="00A04D12" w:rsidP="00A04D12">
      <w:pPr>
        <w:pStyle w:val="NoSpacing"/>
        <w:widowControl/>
        <w:numPr>
          <w:ilvl w:val="0"/>
          <w:numId w:val="4"/>
        </w:numPr>
        <w:rPr>
          <w:sz w:val="20"/>
          <w:szCs w:val="20"/>
        </w:rPr>
      </w:pPr>
      <w:r w:rsidRPr="473EF3AE">
        <w:rPr>
          <w:sz w:val="20"/>
          <w:szCs w:val="20"/>
        </w:rPr>
        <w:t>TN_GR06S_SEFA_SUPPL is only return</w:t>
      </w:r>
      <w:r>
        <w:rPr>
          <w:sz w:val="20"/>
          <w:szCs w:val="20"/>
        </w:rPr>
        <w:t>s</w:t>
      </w:r>
      <w:r w:rsidRPr="473EF3AE">
        <w:rPr>
          <w:sz w:val="20"/>
          <w:szCs w:val="20"/>
        </w:rPr>
        <w:t xml:space="preserve"> interdepartmental sponsors that have the Customer Type of “TN Agency”.  If a sponsor is incorrect, the query will not contain the activity for that Customer (revenue) Contract.  This would have to be manually added to the SIS report.</w:t>
      </w:r>
    </w:p>
    <w:p w14:paraId="0A036746" w14:textId="77777777" w:rsidR="00A04D12" w:rsidRDefault="00A04D12" w:rsidP="00A04D12">
      <w:pPr>
        <w:pStyle w:val="NoSpacing"/>
        <w:widowControl/>
        <w:ind w:left="720"/>
        <w:rPr>
          <w:sz w:val="20"/>
          <w:szCs w:val="20"/>
        </w:rPr>
      </w:pPr>
    </w:p>
    <w:p w14:paraId="58A84FB0" w14:textId="26EA6B8D" w:rsidR="00D964AF" w:rsidRPr="00177C7B" w:rsidRDefault="744639F2" w:rsidP="00A04D12">
      <w:pPr>
        <w:pStyle w:val="NoSpacing"/>
        <w:widowControl/>
        <w:numPr>
          <w:ilvl w:val="0"/>
          <w:numId w:val="4"/>
        </w:numPr>
        <w:rPr>
          <w:sz w:val="20"/>
          <w:szCs w:val="20"/>
        </w:rPr>
      </w:pPr>
      <w:r w:rsidRPr="00A04D12">
        <w:rPr>
          <w:b/>
          <w:bCs/>
          <w:sz w:val="20"/>
          <w:szCs w:val="20"/>
        </w:rPr>
        <w:t xml:space="preserve">NOTE: </w:t>
      </w:r>
      <w:r w:rsidRPr="00177C7B">
        <w:rPr>
          <w:sz w:val="20"/>
          <w:szCs w:val="20"/>
        </w:rPr>
        <w:t xml:space="preserve">If your </w:t>
      </w:r>
      <w:r w:rsidR="46746DEA" w:rsidRPr="00177C7B">
        <w:rPr>
          <w:sz w:val="20"/>
          <w:szCs w:val="20"/>
        </w:rPr>
        <w:t xml:space="preserve">agency </w:t>
      </w:r>
      <w:r w:rsidRPr="00177C7B">
        <w:rPr>
          <w:sz w:val="20"/>
          <w:szCs w:val="20"/>
        </w:rPr>
        <w:t>received a grant under AL 21.019 Coronavirus Relief Fund (CRF), AL 21.027 Coronavirus State Fiscal Recovery Funds (CSFRF), or AL 21.023 COVID Emergency Rental Assistance, these need to be removed from the SIS report and added to the SEFA report because Federal revenue, 68001000, was recognized on the interdepartmental (IU) journals for these grants.</w:t>
      </w:r>
    </w:p>
    <w:p w14:paraId="46206FB3" w14:textId="77777777" w:rsidR="00D964AF" w:rsidRDefault="00D964AF" w:rsidP="00FB08ED">
      <w:pPr>
        <w:pStyle w:val="NoSpacing"/>
        <w:widowControl/>
        <w:rPr>
          <w:sz w:val="20"/>
          <w:szCs w:val="20"/>
        </w:rPr>
      </w:pPr>
    </w:p>
    <w:p w14:paraId="3B0F655C" w14:textId="3D9744C4" w:rsidR="00D964AF" w:rsidRDefault="00D964AF" w:rsidP="00D964AF">
      <w:pPr>
        <w:pStyle w:val="NoSpacing"/>
        <w:widowControl/>
        <w:ind w:left="360"/>
        <w:rPr>
          <w:sz w:val="20"/>
          <w:szCs w:val="20"/>
        </w:rPr>
      </w:pPr>
    </w:p>
    <w:p w14:paraId="58B0536F" w14:textId="77777777" w:rsidR="00D964AF" w:rsidRDefault="00D964AF" w:rsidP="00D964AF">
      <w:pPr>
        <w:pStyle w:val="NoSpacing"/>
        <w:widowControl/>
        <w:numPr>
          <w:ilvl w:val="0"/>
          <w:numId w:val="7"/>
        </w:numPr>
        <w:rPr>
          <w:sz w:val="20"/>
          <w:szCs w:val="20"/>
        </w:rPr>
      </w:pPr>
      <w:r w:rsidRPr="473EF3AE">
        <w:rPr>
          <w:sz w:val="20"/>
          <w:szCs w:val="20"/>
        </w:rPr>
        <w:t>Expenditures related to disaster, fire, hurricane, flood, etc. which were incurred by state agencies other than Military should be reported on the SIS report.  Several agencies did not charge these expenditures correctly as Interdepartmental PTDISASTER Activity on various disasters that occurred during the State year, so they would be reconciling items to the SEFA Supplemental report. Also, based upon the Compliance Supplement, the expenditures may be reconciling items to the SEFA as per following note.</w:t>
      </w:r>
    </w:p>
    <w:p w14:paraId="7F7DC16E" w14:textId="77777777" w:rsidR="00D964AF" w:rsidRDefault="00D964AF" w:rsidP="00D964AF">
      <w:pPr>
        <w:pStyle w:val="NoSpacing"/>
        <w:widowControl/>
        <w:ind w:left="1440"/>
        <w:rPr>
          <w:sz w:val="20"/>
          <w:szCs w:val="20"/>
        </w:rPr>
      </w:pPr>
    </w:p>
    <w:p w14:paraId="16729FAF" w14:textId="77777777" w:rsidR="00D964AF" w:rsidRDefault="00D964AF" w:rsidP="473EF3AE">
      <w:pPr>
        <w:pStyle w:val="NoSpacing"/>
        <w:widowControl/>
        <w:ind w:left="720"/>
        <w:rPr>
          <w:sz w:val="20"/>
          <w:szCs w:val="20"/>
        </w:rPr>
      </w:pPr>
      <w:r w:rsidRPr="473EF3AE">
        <w:rPr>
          <w:sz w:val="20"/>
          <w:szCs w:val="20"/>
        </w:rPr>
        <w:t xml:space="preserve">Note from the Compliance Supplement – A presidential declaration does not approve a disaster for FEMA funding even though the state may have already received funds for disaster expenditures.  The funds are not “earned” until the FEMA project has been granted a Project Number based upon a Project Worksheet (PW) from FEMA. From the Compliance Supplement, “Nonfederal entities must record expenditures on the Schedule of Expenditures of Federal Awards (SEFA) when (1) FEMA has approved the nonfederal entity’s PW, and (2) the nonfederal entity has incurred the eligible expenditures.”  “Federal awards expended in years subsequent to the fiscal year in which the PW is approved are to be recorded on the nonfederal entity’s SEFA in those subsequent years.” “For example: 1. If FEMA approves the PW in the nonfederal entity’s fiscal year 2014 and eligible expenditures are incurred in the nonfederal entity’s fiscal year 2015, the nonfederal entity records the eligible expenditures in its fiscal year 2015 SEFA. 2. If the nonfederal entity incurs eligible expenditures in its fiscal year 2014 and FEMA approves the nonfederal entity’s PW in the nonfederal entity’s fiscal year 2015, the nonfederal entity records the eligible </w:t>
      </w:r>
      <w:r w:rsidRPr="473EF3AE">
        <w:rPr>
          <w:sz w:val="20"/>
          <w:szCs w:val="20"/>
        </w:rPr>
        <w:lastRenderedPageBreak/>
        <w:t>expenditure in its fiscal year 2015 SEFA with a footnote that discloses the amount included on the SEFA that was incurred in a prior year.”</w:t>
      </w:r>
    </w:p>
    <w:p w14:paraId="17426B7D" w14:textId="77777777" w:rsidR="00DC49E6" w:rsidRDefault="00DC49E6" w:rsidP="00E23226">
      <w:pPr>
        <w:pStyle w:val="NoSpacing"/>
        <w:ind w:left="720"/>
        <w:rPr>
          <w:sz w:val="20"/>
          <w:szCs w:val="20"/>
        </w:rPr>
      </w:pPr>
    </w:p>
    <w:p w14:paraId="410400C3" w14:textId="77777777" w:rsidR="00E23226" w:rsidRDefault="00E23226" w:rsidP="00FB08ED">
      <w:pPr>
        <w:pStyle w:val="NoSpacing"/>
        <w:rPr>
          <w:b/>
          <w:sz w:val="20"/>
          <w:szCs w:val="20"/>
          <w:u w:val="single"/>
        </w:rPr>
      </w:pPr>
    </w:p>
    <w:p w14:paraId="519E1C6B" w14:textId="04458937" w:rsidR="00E23226" w:rsidRPr="00D964AF" w:rsidRDefault="00D964AF" w:rsidP="00D964AF">
      <w:pPr>
        <w:pStyle w:val="NoSpacing"/>
        <w:spacing w:after="240"/>
        <w:rPr>
          <w:b/>
          <w:bCs/>
          <w:sz w:val="24"/>
          <w:szCs w:val="24"/>
          <w:u w:val="single"/>
        </w:rPr>
      </w:pPr>
      <w:r w:rsidRPr="00D964AF">
        <w:rPr>
          <w:b/>
          <w:bCs/>
          <w:sz w:val="24"/>
          <w:szCs w:val="24"/>
          <w:u w:val="single"/>
        </w:rPr>
        <w:t xml:space="preserve">Reconciliation: </w:t>
      </w:r>
    </w:p>
    <w:p w14:paraId="3652EEDF" w14:textId="3B97C14E" w:rsidR="00E23226" w:rsidRPr="00541115" w:rsidRDefault="00E23226" w:rsidP="473EF3AE">
      <w:pPr>
        <w:spacing w:after="0" w:line="240" w:lineRule="auto"/>
        <w:ind w:right="661"/>
        <w:rPr>
          <w:rFonts w:ascii="Calibri" w:eastAsia="Calibri" w:hAnsi="Calibri" w:cs="Calibri"/>
          <w:sz w:val="20"/>
          <w:szCs w:val="20"/>
        </w:rPr>
      </w:pPr>
      <w:r w:rsidRPr="00541115">
        <w:rPr>
          <w:noProof/>
          <w:sz w:val="20"/>
          <w:szCs w:val="20"/>
        </w:rPr>
        <w:t>When</w:t>
      </w:r>
      <w:r w:rsidRPr="00541115">
        <w:rPr>
          <w:rFonts w:ascii="Calibri" w:eastAsia="Calibri" w:hAnsi="Calibri" w:cs="Calibri"/>
          <w:sz w:val="20"/>
          <w:szCs w:val="20"/>
        </w:rPr>
        <w:t xml:space="preserve"> reconciling the S</w:t>
      </w:r>
      <w:r w:rsidRPr="00541115">
        <w:rPr>
          <w:rFonts w:ascii="Calibri" w:eastAsia="Calibri" w:hAnsi="Calibri" w:cs="Calibri"/>
          <w:spacing w:val="1"/>
          <w:sz w:val="20"/>
          <w:szCs w:val="20"/>
        </w:rPr>
        <w:t>E</w:t>
      </w:r>
      <w:r w:rsidRPr="00541115">
        <w:rPr>
          <w:rFonts w:ascii="Calibri" w:eastAsia="Calibri" w:hAnsi="Calibri" w:cs="Calibri"/>
          <w:sz w:val="20"/>
          <w:szCs w:val="20"/>
        </w:rPr>
        <w:t>FA</w:t>
      </w:r>
      <w:r w:rsidRPr="00541115">
        <w:rPr>
          <w:rFonts w:ascii="Calibri" w:eastAsia="Calibri" w:hAnsi="Calibri" w:cs="Calibri"/>
          <w:spacing w:val="-4"/>
          <w:sz w:val="20"/>
          <w:szCs w:val="20"/>
        </w:rPr>
        <w:t xml:space="preserve"> main and SIS supplemental </w:t>
      </w:r>
      <w:r w:rsidRPr="00541115">
        <w:rPr>
          <w:rFonts w:ascii="Calibri" w:eastAsia="Calibri" w:hAnsi="Calibri" w:cs="Calibri"/>
          <w:sz w:val="20"/>
          <w:szCs w:val="20"/>
        </w:rPr>
        <w:t>rep</w:t>
      </w:r>
      <w:r w:rsidRPr="00541115">
        <w:rPr>
          <w:rFonts w:ascii="Calibri" w:eastAsia="Calibri" w:hAnsi="Calibri" w:cs="Calibri"/>
          <w:spacing w:val="1"/>
          <w:sz w:val="20"/>
          <w:szCs w:val="20"/>
        </w:rPr>
        <w:t>o</w:t>
      </w:r>
      <w:r w:rsidRPr="00541115">
        <w:rPr>
          <w:rFonts w:ascii="Calibri" w:eastAsia="Calibri" w:hAnsi="Calibri" w:cs="Calibri"/>
          <w:sz w:val="20"/>
          <w:szCs w:val="20"/>
        </w:rPr>
        <w:t>rts</w:t>
      </w:r>
      <w:r w:rsidRPr="00541115">
        <w:rPr>
          <w:rFonts w:ascii="Calibri" w:eastAsia="Calibri" w:hAnsi="Calibri" w:cs="Calibri"/>
          <w:spacing w:val="-6"/>
          <w:sz w:val="20"/>
          <w:szCs w:val="20"/>
        </w:rPr>
        <w:t xml:space="preserve"> </w:t>
      </w:r>
      <w:r w:rsidRPr="00541115">
        <w:rPr>
          <w:rFonts w:ascii="Calibri" w:eastAsia="Calibri" w:hAnsi="Calibri" w:cs="Calibri"/>
          <w:sz w:val="20"/>
          <w:szCs w:val="20"/>
        </w:rPr>
        <w:t>to</w:t>
      </w:r>
      <w:r w:rsidRPr="00541115">
        <w:rPr>
          <w:rFonts w:ascii="Calibri" w:eastAsia="Calibri" w:hAnsi="Calibri" w:cs="Calibri"/>
          <w:spacing w:val="-1"/>
          <w:sz w:val="20"/>
          <w:szCs w:val="20"/>
        </w:rPr>
        <w:t xml:space="preserve"> </w:t>
      </w:r>
      <w:r w:rsidRPr="00541115">
        <w:rPr>
          <w:rFonts w:ascii="Calibri" w:eastAsia="Calibri" w:hAnsi="Calibri" w:cs="Calibri"/>
          <w:spacing w:val="1"/>
          <w:sz w:val="20"/>
          <w:szCs w:val="20"/>
        </w:rPr>
        <w:t>th</w:t>
      </w:r>
      <w:r w:rsidRPr="00541115">
        <w:rPr>
          <w:rFonts w:ascii="Calibri" w:eastAsia="Calibri" w:hAnsi="Calibri" w:cs="Calibri"/>
          <w:sz w:val="20"/>
          <w:szCs w:val="20"/>
        </w:rPr>
        <w:t>e</w:t>
      </w:r>
      <w:r w:rsidRPr="00541115">
        <w:rPr>
          <w:rFonts w:ascii="Calibri" w:eastAsia="Calibri" w:hAnsi="Calibri" w:cs="Calibri"/>
          <w:spacing w:val="-4"/>
          <w:sz w:val="20"/>
          <w:szCs w:val="20"/>
        </w:rPr>
        <w:t xml:space="preserve"> </w:t>
      </w:r>
      <w:r w:rsidRPr="00541115">
        <w:rPr>
          <w:rFonts w:ascii="Calibri" w:eastAsia="Calibri" w:hAnsi="Calibri" w:cs="Calibri"/>
          <w:sz w:val="20"/>
          <w:szCs w:val="20"/>
        </w:rPr>
        <w:t>G</w:t>
      </w:r>
      <w:r w:rsidRPr="00541115">
        <w:rPr>
          <w:rFonts w:ascii="Calibri" w:eastAsia="Calibri" w:hAnsi="Calibri" w:cs="Calibri"/>
          <w:spacing w:val="-1"/>
          <w:sz w:val="20"/>
          <w:szCs w:val="20"/>
        </w:rPr>
        <w:t>e</w:t>
      </w:r>
      <w:r w:rsidRPr="00541115">
        <w:rPr>
          <w:rFonts w:ascii="Calibri" w:eastAsia="Calibri" w:hAnsi="Calibri" w:cs="Calibri"/>
          <w:spacing w:val="3"/>
          <w:sz w:val="20"/>
          <w:szCs w:val="20"/>
        </w:rPr>
        <w:t>n</w:t>
      </w:r>
      <w:r w:rsidRPr="00541115">
        <w:rPr>
          <w:rFonts w:ascii="Calibri" w:eastAsia="Calibri" w:hAnsi="Calibri" w:cs="Calibri"/>
          <w:spacing w:val="-1"/>
          <w:sz w:val="20"/>
          <w:szCs w:val="20"/>
        </w:rPr>
        <w:t>e</w:t>
      </w:r>
      <w:r w:rsidRPr="00541115">
        <w:rPr>
          <w:rFonts w:ascii="Calibri" w:eastAsia="Calibri" w:hAnsi="Calibri" w:cs="Calibri"/>
          <w:spacing w:val="8"/>
          <w:sz w:val="20"/>
          <w:szCs w:val="20"/>
        </w:rPr>
        <w:t>r</w:t>
      </w:r>
      <w:r w:rsidRPr="00541115">
        <w:rPr>
          <w:rFonts w:ascii="Calibri" w:eastAsia="Calibri" w:hAnsi="Calibri" w:cs="Calibri"/>
          <w:sz w:val="20"/>
          <w:szCs w:val="20"/>
        </w:rPr>
        <w:t>al</w:t>
      </w:r>
      <w:r w:rsidRPr="00541115">
        <w:rPr>
          <w:rFonts w:ascii="Calibri" w:eastAsia="Calibri" w:hAnsi="Calibri" w:cs="Calibri"/>
          <w:spacing w:val="-5"/>
          <w:sz w:val="20"/>
          <w:szCs w:val="20"/>
        </w:rPr>
        <w:t xml:space="preserve"> </w:t>
      </w:r>
      <w:r w:rsidRPr="00541115">
        <w:rPr>
          <w:rFonts w:ascii="Calibri" w:eastAsia="Calibri" w:hAnsi="Calibri" w:cs="Calibri"/>
          <w:sz w:val="20"/>
          <w:szCs w:val="20"/>
        </w:rPr>
        <w:t>Ledger,</w:t>
      </w:r>
      <w:r w:rsidRPr="00541115">
        <w:rPr>
          <w:rFonts w:ascii="Calibri" w:eastAsia="Calibri" w:hAnsi="Calibri" w:cs="Calibri"/>
          <w:spacing w:val="-5"/>
          <w:sz w:val="20"/>
          <w:szCs w:val="20"/>
        </w:rPr>
        <w:t xml:space="preserve"> </w:t>
      </w:r>
      <w:r w:rsidRPr="00541115">
        <w:rPr>
          <w:rFonts w:ascii="Calibri" w:eastAsia="Calibri" w:hAnsi="Calibri" w:cs="Calibri"/>
          <w:sz w:val="20"/>
          <w:szCs w:val="20"/>
        </w:rPr>
        <w:t>c</w:t>
      </w:r>
      <w:r w:rsidRPr="00541115">
        <w:rPr>
          <w:rFonts w:ascii="Calibri" w:eastAsia="Calibri" w:hAnsi="Calibri" w:cs="Calibri"/>
          <w:spacing w:val="1"/>
          <w:sz w:val="20"/>
          <w:szCs w:val="20"/>
        </w:rPr>
        <w:t>on</w:t>
      </w:r>
      <w:r w:rsidRPr="00541115">
        <w:rPr>
          <w:rFonts w:ascii="Calibri" w:eastAsia="Calibri" w:hAnsi="Calibri" w:cs="Calibri"/>
          <w:spacing w:val="-1"/>
          <w:sz w:val="20"/>
          <w:szCs w:val="20"/>
        </w:rPr>
        <w:t>s</w:t>
      </w:r>
      <w:r w:rsidRPr="00541115">
        <w:rPr>
          <w:rFonts w:ascii="Calibri" w:eastAsia="Calibri" w:hAnsi="Calibri" w:cs="Calibri"/>
          <w:sz w:val="20"/>
          <w:szCs w:val="20"/>
        </w:rPr>
        <w:t>i</w:t>
      </w:r>
      <w:r w:rsidRPr="00541115">
        <w:rPr>
          <w:rFonts w:ascii="Calibri" w:eastAsia="Calibri" w:hAnsi="Calibri" w:cs="Calibri"/>
          <w:spacing w:val="1"/>
          <w:sz w:val="20"/>
          <w:szCs w:val="20"/>
        </w:rPr>
        <w:t>d</w:t>
      </w:r>
      <w:r w:rsidRPr="00541115">
        <w:rPr>
          <w:rFonts w:ascii="Calibri" w:eastAsia="Calibri" w:hAnsi="Calibri" w:cs="Calibri"/>
          <w:spacing w:val="-1"/>
          <w:sz w:val="20"/>
          <w:szCs w:val="20"/>
        </w:rPr>
        <w:t>e</w:t>
      </w:r>
      <w:r w:rsidRPr="00541115">
        <w:rPr>
          <w:rFonts w:ascii="Calibri" w:eastAsia="Calibri" w:hAnsi="Calibri" w:cs="Calibri"/>
          <w:sz w:val="20"/>
          <w:szCs w:val="20"/>
        </w:rPr>
        <w:t>r</w:t>
      </w:r>
      <w:r w:rsidRPr="00541115">
        <w:rPr>
          <w:rFonts w:ascii="Calibri" w:eastAsia="Calibri" w:hAnsi="Calibri" w:cs="Calibri"/>
          <w:spacing w:val="-7"/>
          <w:sz w:val="20"/>
          <w:szCs w:val="20"/>
        </w:rPr>
        <w:t xml:space="preserve"> </w:t>
      </w:r>
      <w:r w:rsidRPr="00541115">
        <w:rPr>
          <w:rFonts w:ascii="Calibri" w:eastAsia="Calibri" w:hAnsi="Calibri" w:cs="Calibri"/>
          <w:sz w:val="20"/>
          <w:szCs w:val="20"/>
        </w:rPr>
        <w:t>the following information and related queries</w:t>
      </w:r>
      <w:r w:rsidR="2A8D73A0" w:rsidRPr="00541115">
        <w:rPr>
          <w:rFonts w:ascii="Calibri" w:eastAsia="Calibri" w:hAnsi="Calibri" w:cs="Calibri"/>
          <w:sz w:val="20"/>
          <w:szCs w:val="20"/>
        </w:rPr>
        <w:t xml:space="preserve"> to help resolve unreconciled balances</w:t>
      </w:r>
      <w:r w:rsidRPr="00541115">
        <w:rPr>
          <w:rFonts w:ascii="Calibri" w:eastAsia="Calibri" w:hAnsi="Calibri" w:cs="Calibri"/>
          <w:sz w:val="20"/>
          <w:szCs w:val="20"/>
        </w:rPr>
        <w:t>:</w:t>
      </w:r>
    </w:p>
    <w:p w14:paraId="26A2C1AC" w14:textId="77777777" w:rsidR="00E23226" w:rsidRDefault="00E23226" w:rsidP="00E23226">
      <w:pPr>
        <w:spacing w:before="5" w:after="0" w:line="240" w:lineRule="exact"/>
        <w:rPr>
          <w:sz w:val="24"/>
          <w:szCs w:val="24"/>
        </w:rPr>
      </w:pPr>
    </w:p>
    <w:p w14:paraId="6760C733" w14:textId="3D5CA265" w:rsidR="68860382" w:rsidRDefault="68860382" w:rsidP="473EF3AE">
      <w:pPr>
        <w:pStyle w:val="NoSpacing"/>
        <w:widowControl/>
        <w:numPr>
          <w:ilvl w:val="0"/>
          <w:numId w:val="1"/>
        </w:numPr>
        <w:rPr>
          <w:sz w:val="20"/>
          <w:szCs w:val="20"/>
        </w:rPr>
      </w:pPr>
      <w:r w:rsidRPr="473EF3AE">
        <w:rPr>
          <w:b/>
          <w:bCs/>
          <w:sz w:val="20"/>
          <w:szCs w:val="20"/>
        </w:rPr>
        <w:t xml:space="preserve">General - </w:t>
      </w:r>
      <w:r w:rsidR="6786C29A" w:rsidRPr="473EF3AE">
        <w:rPr>
          <w:sz w:val="20"/>
          <w:szCs w:val="20"/>
        </w:rPr>
        <w:t xml:space="preserve">TN_GR06X_REV_EXP_IN_DIFF_YEAR </w:t>
      </w:r>
      <w:r w:rsidR="4B654781" w:rsidRPr="473EF3AE">
        <w:rPr>
          <w:sz w:val="20"/>
          <w:szCs w:val="20"/>
        </w:rPr>
        <w:t>returns a s</w:t>
      </w:r>
      <w:r w:rsidR="6786C29A" w:rsidRPr="473EF3AE">
        <w:rPr>
          <w:sz w:val="20"/>
          <w:szCs w:val="20"/>
        </w:rPr>
        <w:t xml:space="preserve">ummary of transactions where </w:t>
      </w:r>
      <w:r w:rsidR="3F763883" w:rsidRPr="473EF3AE">
        <w:rPr>
          <w:sz w:val="20"/>
          <w:szCs w:val="20"/>
        </w:rPr>
        <w:t>r</w:t>
      </w:r>
      <w:r w:rsidR="6786C29A" w:rsidRPr="473EF3AE">
        <w:rPr>
          <w:sz w:val="20"/>
          <w:szCs w:val="20"/>
        </w:rPr>
        <w:t>evenue</w:t>
      </w:r>
      <w:r w:rsidR="55CA2C5C" w:rsidRPr="473EF3AE">
        <w:rPr>
          <w:sz w:val="20"/>
          <w:szCs w:val="20"/>
        </w:rPr>
        <w:t xml:space="preserve"> is</w:t>
      </w:r>
      <w:r w:rsidR="6786C29A" w:rsidRPr="473EF3AE">
        <w:rPr>
          <w:sz w:val="20"/>
          <w:szCs w:val="20"/>
        </w:rPr>
        <w:t xml:space="preserve"> recognized in one Fiscal Year, but the </w:t>
      </w:r>
      <w:r w:rsidR="50CFAD16" w:rsidRPr="473EF3AE">
        <w:rPr>
          <w:sz w:val="20"/>
          <w:szCs w:val="20"/>
        </w:rPr>
        <w:t>e</w:t>
      </w:r>
      <w:r w:rsidR="6786C29A" w:rsidRPr="473EF3AE">
        <w:rPr>
          <w:sz w:val="20"/>
          <w:szCs w:val="20"/>
        </w:rPr>
        <w:t xml:space="preserve">xpenditure </w:t>
      </w:r>
      <w:r w:rsidR="3DBC6932" w:rsidRPr="473EF3AE">
        <w:rPr>
          <w:sz w:val="20"/>
          <w:szCs w:val="20"/>
        </w:rPr>
        <w:t>is recognized</w:t>
      </w:r>
      <w:r w:rsidR="6786C29A" w:rsidRPr="473EF3AE">
        <w:rPr>
          <w:sz w:val="20"/>
          <w:szCs w:val="20"/>
        </w:rPr>
        <w:t xml:space="preserve"> in different Fiscal Year.</w:t>
      </w:r>
      <w:r w:rsidR="5220FBF3" w:rsidRPr="473EF3AE">
        <w:rPr>
          <w:sz w:val="20"/>
          <w:szCs w:val="20"/>
        </w:rPr>
        <w:t xml:space="preserve">  </w:t>
      </w:r>
      <w:r w:rsidR="6786C29A" w:rsidRPr="473EF3AE">
        <w:rPr>
          <w:sz w:val="20"/>
          <w:szCs w:val="20"/>
        </w:rPr>
        <w:t xml:space="preserve">TN_GR06X_REV_EXP_DIFF_YR_DTL provides detailed transactions of amounts reported on the summary query.  </w:t>
      </w:r>
    </w:p>
    <w:p w14:paraId="6C02DFBB" w14:textId="09250DD2" w:rsidR="1DB34D6E" w:rsidRDefault="006A32AC" w:rsidP="473EF3AE">
      <w:pPr>
        <w:pStyle w:val="NoSpacing"/>
        <w:widowControl/>
        <w:numPr>
          <w:ilvl w:val="0"/>
          <w:numId w:val="1"/>
        </w:numPr>
        <w:rPr>
          <w:sz w:val="20"/>
          <w:szCs w:val="20"/>
        </w:rPr>
      </w:pPr>
      <w:r>
        <w:rPr>
          <w:b/>
          <w:bCs/>
          <w:sz w:val="20"/>
          <w:szCs w:val="20"/>
        </w:rPr>
        <w:t>General</w:t>
      </w:r>
      <w:r w:rsidR="1DB34D6E" w:rsidRPr="473EF3AE">
        <w:rPr>
          <w:b/>
          <w:bCs/>
          <w:sz w:val="20"/>
          <w:szCs w:val="20"/>
        </w:rPr>
        <w:t xml:space="preserve"> - </w:t>
      </w:r>
      <w:r w:rsidR="00E23226" w:rsidRPr="473EF3AE">
        <w:rPr>
          <w:b/>
          <w:bCs/>
          <w:sz w:val="20"/>
          <w:szCs w:val="20"/>
        </w:rPr>
        <w:t>TN_GL97_ACTUAL_REV_EXP_PROJECT</w:t>
      </w:r>
      <w:r w:rsidR="00E23226" w:rsidRPr="473EF3AE">
        <w:rPr>
          <w:sz w:val="20"/>
          <w:szCs w:val="20"/>
        </w:rPr>
        <w:t xml:space="preserve"> returns both expenditures and revenue by project ID except for the Indirect Cost Expenditure (89040000).  The amount of the Indirect Cost Expenditure (8904000) must be added to the expenditures per the query to reconcile revenue and expenditures.</w:t>
      </w:r>
    </w:p>
    <w:p w14:paraId="45110558" w14:textId="74DDE58B" w:rsidR="006A32AC" w:rsidRDefault="006A32AC" w:rsidP="473EF3AE">
      <w:pPr>
        <w:pStyle w:val="NoSpacing"/>
        <w:widowControl/>
        <w:numPr>
          <w:ilvl w:val="0"/>
          <w:numId w:val="1"/>
        </w:numPr>
        <w:rPr>
          <w:sz w:val="20"/>
          <w:szCs w:val="20"/>
        </w:rPr>
      </w:pPr>
      <w:r>
        <w:rPr>
          <w:b/>
          <w:bCs/>
          <w:sz w:val="20"/>
          <w:szCs w:val="20"/>
        </w:rPr>
        <w:t xml:space="preserve">Automated Indirect Cost </w:t>
      </w:r>
      <w:r w:rsidR="00AE4453">
        <w:rPr>
          <w:b/>
          <w:bCs/>
          <w:sz w:val="20"/>
          <w:szCs w:val="20"/>
        </w:rPr>
        <w:t>–</w:t>
      </w:r>
      <w:r w:rsidRPr="00695AEA">
        <w:rPr>
          <w:b/>
          <w:bCs/>
          <w:sz w:val="20"/>
          <w:szCs w:val="20"/>
        </w:rPr>
        <w:t xml:space="preserve"> </w:t>
      </w:r>
      <w:r w:rsidR="00AE4453" w:rsidRPr="00695AEA">
        <w:rPr>
          <w:b/>
          <w:bCs/>
          <w:sz w:val="20"/>
          <w:szCs w:val="20"/>
        </w:rPr>
        <w:t>TN_GR_A</w:t>
      </w:r>
      <w:r w:rsidR="00E66D7B" w:rsidRPr="00695AEA">
        <w:rPr>
          <w:b/>
          <w:bCs/>
          <w:sz w:val="20"/>
          <w:szCs w:val="20"/>
        </w:rPr>
        <w:t>13_89040000_VS_89035000</w:t>
      </w:r>
      <w:r w:rsidR="00E66D7B">
        <w:rPr>
          <w:sz w:val="20"/>
          <w:szCs w:val="20"/>
        </w:rPr>
        <w:t xml:space="preserve"> can be used to account for the reconciling differen</w:t>
      </w:r>
      <w:r w:rsidR="003179DE">
        <w:rPr>
          <w:sz w:val="20"/>
          <w:szCs w:val="20"/>
        </w:rPr>
        <w:t xml:space="preserve">ce in revenue and expense on the TN_GL97_ACTUAL_REV_EXP_PROJECT </w:t>
      </w:r>
      <w:r w:rsidR="00695AEA">
        <w:rPr>
          <w:sz w:val="20"/>
          <w:szCs w:val="20"/>
        </w:rPr>
        <w:t xml:space="preserve">related to indirect cost. </w:t>
      </w:r>
      <w:r w:rsidR="00695AEA" w:rsidRPr="004600E4">
        <w:rPr>
          <w:color w:val="FF0000"/>
          <w:sz w:val="20"/>
          <w:szCs w:val="20"/>
        </w:rPr>
        <w:t xml:space="preserve"> </w:t>
      </w:r>
      <w:r w:rsidR="00C918EE" w:rsidRPr="004600E4">
        <w:rPr>
          <w:color w:val="FF0000"/>
          <w:sz w:val="20"/>
          <w:szCs w:val="20"/>
        </w:rPr>
        <w:t>(GL Revenue to Expense)</w:t>
      </w:r>
    </w:p>
    <w:p w14:paraId="0CD9E722" w14:textId="0FA37A0C" w:rsidR="00E23226" w:rsidRDefault="1CEE183C" w:rsidP="473EF3AE">
      <w:pPr>
        <w:pStyle w:val="NoSpacing"/>
        <w:widowControl/>
        <w:numPr>
          <w:ilvl w:val="0"/>
          <w:numId w:val="1"/>
        </w:numPr>
        <w:rPr>
          <w:sz w:val="20"/>
          <w:szCs w:val="20"/>
        </w:rPr>
      </w:pPr>
      <w:r w:rsidRPr="473EF3AE">
        <w:rPr>
          <w:b/>
          <w:bCs/>
          <w:sz w:val="20"/>
          <w:szCs w:val="20"/>
        </w:rPr>
        <w:t>Program Income</w:t>
      </w:r>
      <w:r w:rsidR="48CFCBAE" w:rsidRPr="473EF3AE">
        <w:rPr>
          <w:b/>
          <w:bCs/>
          <w:sz w:val="20"/>
          <w:szCs w:val="20"/>
        </w:rPr>
        <w:t xml:space="preserve"> </w:t>
      </w:r>
      <w:r w:rsidR="48CFCBAE" w:rsidRPr="473EF3AE">
        <w:rPr>
          <w:sz w:val="20"/>
          <w:szCs w:val="20"/>
        </w:rPr>
        <w:t xml:space="preserve">- </w:t>
      </w:r>
      <w:r w:rsidR="00E23226" w:rsidRPr="473EF3AE">
        <w:rPr>
          <w:sz w:val="20"/>
          <w:szCs w:val="20"/>
        </w:rPr>
        <w:t xml:space="preserve">PROGRAMINC activity automatically reduces the Federal draws does not have associated direct expenditures – run </w:t>
      </w:r>
      <w:r w:rsidR="00E23226" w:rsidRPr="473EF3AE">
        <w:rPr>
          <w:b/>
          <w:bCs/>
          <w:sz w:val="20"/>
          <w:szCs w:val="20"/>
        </w:rPr>
        <w:t>TN_GR24A_REV_WRONG_ACTIVITY</w:t>
      </w:r>
      <w:r w:rsidR="00E23226" w:rsidRPr="473EF3AE">
        <w:rPr>
          <w:sz w:val="20"/>
          <w:szCs w:val="20"/>
        </w:rPr>
        <w:t xml:space="preserve"> to easily identify the program income that reduced revenue.</w:t>
      </w:r>
      <w:r w:rsidR="004600E4">
        <w:rPr>
          <w:sz w:val="20"/>
          <w:szCs w:val="20"/>
        </w:rPr>
        <w:t xml:space="preserve"> </w:t>
      </w:r>
      <w:r w:rsidR="004600E4" w:rsidRPr="00CE6D58">
        <w:rPr>
          <w:color w:val="FF0000"/>
          <w:sz w:val="20"/>
          <w:szCs w:val="20"/>
        </w:rPr>
        <w:t>(</w:t>
      </w:r>
      <w:r w:rsidR="00CE6D58" w:rsidRPr="00CE6D58">
        <w:rPr>
          <w:color w:val="FF0000"/>
          <w:sz w:val="20"/>
          <w:szCs w:val="20"/>
        </w:rPr>
        <w:t>GL Expense to SEFA Expense)</w:t>
      </w:r>
    </w:p>
    <w:p w14:paraId="25DFF227" w14:textId="537C3BF9" w:rsidR="03FD81F7" w:rsidRPr="00B708E4" w:rsidRDefault="00743B82" w:rsidP="473EF3AE">
      <w:pPr>
        <w:pStyle w:val="NoSpacing"/>
        <w:widowControl/>
        <w:numPr>
          <w:ilvl w:val="0"/>
          <w:numId w:val="1"/>
        </w:numPr>
        <w:rPr>
          <w:color w:val="FF0000"/>
          <w:sz w:val="20"/>
          <w:szCs w:val="20"/>
        </w:rPr>
      </w:pPr>
      <w:r>
        <w:rPr>
          <w:b/>
          <w:bCs/>
          <w:sz w:val="20"/>
          <w:szCs w:val="20"/>
        </w:rPr>
        <w:t>Federal Funds received from other entity</w:t>
      </w:r>
      <w:r w:rsidR="2B2A5128" w:rsidRPr="473EF3AE">
        <w:rPr>
          <w:b/>
          <w:bCs/>
          <w:sz w:val="20"/>
          <w:szCs w:val="20"/>
        </w:rPr>
        <w:t xml:space="preserve"> </w:t>
      </w:r>
      <w:r w:rsidR="2B2A5128" w:rsidRPr="473EF3AE">
        <w:rPr>
          <w:sz w:val="20"/>
          <w:szCs w:val="20"/>
        </w:rPr>
        <w:t>– TN_</w:t>
      </w:r>
      <w:r w:rsidR="00B856C0">
        <w:rPr>
          <w:sz w:val="20"/>
          <w:szCs w:val="20"/>
        </w:rPr>
        <w:t>GR06_SEFA_EXP</w:t>
      </w:r>
      <w:r w:rsidR="2B2A5128" w:rsidRPr="473EF3AE">
        <w:rPr>
          <w:sz w:val="20"/>
          <w:szCs w:val="20"/>
        </w:rPr>
        <w:t xml:space="preserve"> only re</w:t>
      </w:r>
      <w:r w:rsidR="0A7CC3C1" w:rsidRPr="473EF3AE">
        <w:rPr>
          <w:sz w:val="20"/>
          <w:szCs w:val="20"/>
        </w:rPr>
        <w:t>turns</w:t>
      </w:r>
      <w:r w:rsidR="00B856C0">
        <w:rPr>
          <w:sz w:val="20"/>
          <w:szCs w:val="20"/>
        </w:rPr>
        <w:t xml:space="preserve"> transactions that recognize</w:t>
      </w:r>
      <w:r w:rsidR="0A7CC3C1" w:rsidRPr="473EF3AE">
        <w:rPr>
          <w:sz w:val="20"/>
          <w:szCs w:val="20"/>
        </w:rPr>
        <w:t xml:space="preserve"> 68001</w:t>
      </w:r>
      <w:r w:rsidR="009660AE">
        <w:rPr>
          <w:sz w:val="20"/>
          <w:szCs w:val="20"/>
        </w:rPr>
        <w:t xml:space="preserve"> and 68002</w:t>
      </w:r>
      <w:r w:rsidR="0A7CC3C1" w:rsidRPr="473EF3AE">
        <w:rPr>
          <w:sz w:val="20"/>
          <w:szCs w:val="20"/>
        </w:rPr>
        <w:t xml:space="preserve"> </w:t>
      </w:r>
      <w:proofErr w:type="gramStart"/>
      <w:r w:rsidR="0A7CC3C1" w:rsidRPr="473EF3AE">
        <w:rPr>
          <w:sz w:val="20"/>
          <w:szCs w:val="20"/>
        </w:rPr>
        <w:t>revenue</w:t>
      </w:r>
      <w:proofErr w:type="gramEnd"/>
      <w:r w:rsidR="0A7CC3C1" w:rsidRPr="473EF3AE">
        <w:rPr>
          <w:sz w:val="20"/>
          <w:szCs w:val="20"/>
        </w:rPr>
        <w:t xml:space="preserve">.  If a grant has a </w:t>
      </w:r>
      <w:r w:rsidR="4921A8F2" w:rsidRPr="473EF3AE">
        <w:rPr>
          <w:sz w:val="20"/>
          <w:szCs w:val="20"/>
        </w:rPr>
        <w:t>68050, 68060, 68070 Rate Set</w:t>
      </w:r>
      <w:r w:rsidR="0A7CC3C1" w:rsidRPr="473EF3AE">
        <w:rPr>
          <w:sz w:val="20"/>
          <w:szCs w:val="20"/>
        </w:rPr>
        <w:t xml:space="preserve"> and PTFED</w:t>
      </w:r>
      <w:r w:rsidR="7E614BBF" w:rsidRPr="473EF3AE">
        <w:rPr>
          <w:sz w:val="20"/>
          <w:szCs w:val="20"/>
        </w:rPr>
        <w:t xml:space="preserve"> Activity Type, the expenditures for those projects will return on the query, but the recorded revenue will not.</w:t>
      </w:r>
      <w:r w:rsidR="00B708E4">
        <w:rPr>
          <w:sz w:val="20"/>
          <w:szCs w:val="20"/>
        </w:rPr>
        <w:t xml:space="preserve"> </w:t>
      </w:r>
      <w:r w:rsidR="00B708E4" w:rsidRPr="00B708E4">
        <w:rPr>
          <w:color w:val="FF0000"/>
          <w:sz w:val="20"/>
          <w:szCs w:val="20"/>
        </w:rPr>
        <w:t>(GL Expense to SEFA Expense)</w:t>
      </w:r>
    </w:p>
    <w:p w14:paraId="47870ABB" w14:textId="0E46C891" w:rsidR="00E23226" w:rsidRPr="005A6C1E" w:rsidRDefault="00E23226" w:rsidP="00D964AF">
      <w:pPr>
        <w:pStyle w:val="NoSpacing"/>
        <w:widowControl/>
        <w:numPr>
          <w:ilvl w:val="0"/>
          <w:numId w:val="7"/>
        </w:numPr>
        <w:ind w:left="1440"/>
        <w:rPr>
          <w:sz w:val="20"/>
          <w:szCs w:val="20"/>
        </w:rPr>
      </w:pPr>
      <w:r w:rsidRPr="473EF3AE">
        <w:rPr>
          <w:b/>
          <w:bCs/>
          <w:sz w:val="20"/>
          <w:szCs w:val="20"/>
        </w:rPr>
        <w:t>TN_GL83 (various letters) EXPENSE</w:t>
      </w:r>
      <w:r w:rsidRPr="473EF3AE">
        <w:rPr>
          <w:sz w:val="20"/>
          <w:szCs w:val="20"/>
        </w:rPr>
        <w:t xml:space="preserve"> queries returns data from the ACTUALS Ledger which DOES NOT include the activity field.</w:t>
      </w:r>
      <w:r w:rsidR="007D688D" w:rsidRPr="473EF3AE">
        <w:rPr>
          <w:sz w:val="20"/>
          <w:szCs w:val="20"/>
        </w:rPr>
        <w:t xml:space="preserve"> – would not include any indirect cost, </w:t>
      </w:r>
      <w:proofErr w:type="spellStart"/>
      <w:r w:rsidR="007D688D" w:rsidRPr="473EF3AE">
        <w:rPr>
          <w:sz w:val="20"/>
          <w:szCs w:val="20"/>
        </w:rPr>
        <w:t>inkind</w:t>
      </w:r>
      <w:proofErr w:type="spellEnd"/>
      <w:r w:rsidR="007D688D" w:rsidRPr="473EF3AE">
        <w:rPr>
          <w:sz w:val="20"/>
          <w:szCs w:val="20"/>
        </w:rPr>
        <w:t>, or statistical journals.</w:t>
      </w:r>
    </w:p>
    <w:p w14:paraId="22B37C4E" w14:textId="4C891B3F" w:rsidR="00E23226" w:rsidRPr="00BE1C18" w:rsidRDefault="00E23226" w:rsidP="00D964AF">
      <w:pPr>
        <w:pStyle w:val="NoSpacing"/>
        <w:widowControl/>
        <w:numPr>
          <w:ilvl w:val="0"/>
          <w:numId w:val="7"/>
        </w:numPr>
        <w:ind w:left="1440"/>
        <w:rPr>
          <w:sz w:val="20"/>
          <w:szCs w:val="20"/>
        </w:rPr>
      </w:pPr>
      <w:r w:rsidRPr="00BE1C18">
        <w:rPr>
          <w:b/>
          <w:bCs/>
          <w:sz w:val="20"/>
          <w:szCs w:val="20"/>
        </w:rPr>
        <w:t>TN_GL64_REVENUE</w:t>
      </w:r>
      <w:r w:rsidRPr="00BE1C18">
        <w:rPr>
          <w:sz w:val="20"/>
          <w:szCs w:val="20"/>
        </w:rPr>
        <w:t xml:space="preserve"> queries return data from the general ledger which includes both project and activity.</w:t>
      </w:r>
    </w:p>
    <w:p w14:paraId="5AB4840A" w14:textId="77777777" w:rsidR="00E23226" w:rsidRDefault="00E23226" w:rsidP="00D964AF">
      <w:pPr>
        <w:pStyle w:val="NoSpacing"/>
        <w:widowControl/>
        <w:numPr>
          <w:ilvl w:val="0"/>
          <w:numId w:val="7"/>
        </w:numPr>
        <w:ind w:left="1440"/>
        <w:rPr>
          <w:sz w:val="20"/>
          <w:szCs w:val="20"/>
        </w:rPr>
      </w:pPr>
      <w:r w:rsidRPr="473EF3AE">
        <w:rPr>
          <w:b/>
          <w:bCs/>
          <w:sz w:val="20"/>
          <w:szCs w:val="20"/>
        </w:rPr>
        <w:t>TN_GL84 (various letters) REVENUE</w:t>
      </w:r>
      <w:r w:rsidRPr="473EF3AE">
        <w:rPr>
          <w:sz w:val="20"/>
          <w:szCs w:val="20"/>
        </w:rPr>
        <w:t xml:space="preserve"> queries returns data from the ACTUALS Ledger which DOES NOT include the activity field.</w:t>
      </w:r>
    </w:p>
    <w:p w14:paraId="0E8095AB" w14:textId="77777777" w:rsidR="00E23226" w:rsidRDefault="00E23226" w:rsidP="00D964AF">
      <w:pPr>
        <w:pStyle w:val="NoSpacing"/>
        <w:widowControl/>
        <w:numPr>
          <w:ilvl w:val="0"/>
          <w:numId w:val="7"/>
        </w:numPr>
        <w:ind w:left="1440"/>
        <w:rPr>
          <w:sz w:val="20"/>
          <w:szCs w:val="20"/>
        </w:rPr>
      </w:pPr>
      <w:r w:rsidRPr="473EF3AE">
        <w:rPr>
          <w:b/>
          <w:bCs/>
          <w:sz w:val="20"/>
          <w:szCs w:val="20"/>
        </w:rPr>
        <w:t>TN_PR202_ALL_TRANSACTIONS</w:t>
      </w:r>
      <w:r w:rsidRPr="473EF3AE">
        <w:rPr>
          <w:sz w:val="20"/>
          <w:szCs w:val="20"/>
        </w:rPr>
        <w:t xml:space="preserve"> is a project query which can provide all transactions for one or many projects in a business unit by accounting date range. This query is intended for general transaction research and knowledge of all analysis types is required to interpret the results. The prompts allow the individual to filter by project, fund, account, department ID, and source type.</w:t>
      </w:r>
    </w:p>
    <w:p w14:paraId="68F4E0CD" w14:textId="77777777" w:rsidR="009672A7" w:rsidRDefault="009672A7" w:rsidP="009672A7">
      <w:pPr>
        <w:pStyle w:val="NoSpacing"/>
        <w:widowControl/>
        <w:ind w:left="1440"/>
        <w:rPr>
          <w:sz w:val="20"/>
          <w:szCs w:val="20"/>
        </w:rPr>
      </w:pPr>
    </w:p>
    <w:p w14:paraId="7ED59138" w14:textId="5B51C372" w:rsidR="00D964AF" w:rsidRDefault="1BFE4BB7" w:rsidP="473EF3AE">
      <w:pPr>
        <w:pStyle w:val="NoSpacing"/>
        <w:widowControl/>
        <w:numPr>
          <w:ilvl w:val="0"/>
          <w:numId w:val="1"/>
        </w:numPr>
        <w:rPr>
          <w:sz w:val="20"/>
          <w:szCs w:val="20"/>
        </w:rPr>
      </w:pPr>
      <w:r w:rsidRPr="473EF3AE">
        <w:rPr>
          <w:b/>
          <w:bCs/>
          <w:sz w:val="20"/>
          <w:szCs w:val="20"/>
        </w:rPr>
        <w:t>TN_GL63_ENTRIES_IU_YEAR</w:t>
      </w:r>
      <w:r w:rsidRPr="473EF3AE">
        <w:rPr>
          <w:sz w:val="20"/>
          <w:szCs w:val="20"/>
        </w:rPr>
        <w:t xml:space="preserve"> is a query that one can run for periods 1-998 to be able to return both sides of interdepartmental journals. This could assist a secondary agency receiving pass through funding to be able to look for Project IDs with a FEDERAL Activity for the primary agency which may reflect the need for a SEFA Supplemental (SSI) reconciling report to be created by the secondary agency.</w:t>
      </w:r>
    </w:p>
    <w:p w14:paraId="0E64263B" w14:textId="77777777" w:rsidR="00D964AF" w:rsidRDefault="00D964AF" w:rsidP="00D964AF">
      <w:pPr>
        <w:pStyle w:val="NoSpacing"/>
        <w:widowControl/>
        <w:rPr>
          <w:b/>
          <w:bCs/>
          <w:sz w:val="24"/>
          <w:szCs w:val="24"/>
        </w:rPr>
      </w:pPr>
    </w:p>
    <w:p w14:paraId="5C56A0C1" w14:textId="38BF9BE3" w:rsidR="009672A7" w:rsidRPr="00D964AF" w:rsidRDefault="009672A7" w:rsidP="00D964AF">
      <w:pPr>
        <w:pStyle w:val="NoSpacing"/>
        <w:spacing w:after="240"/>
        <w:rPr>
          <w:b/>
          <w:bCs/>
          <w:sz w:val="24"/>
          <w:szCs w:val="24"/>
          <w:u w:val="single"/>
        </w:rPr>
      </w:pPr>
      <w:r w:rsidRPr="00D964AF">
        <w:rPr>
          <w:b/>
          <w:bCs/>
          <w:sz w:val="24"/>
          <w:szCs w:val="24"/>
          <w:u w:val="single"/>
        </w:rPr>
        <w:t>Final Review</w:t>
      </w:r>
      <w:r w:rsidR="00D964AF">
        <w:rPr>
          <w:b/>
          <w:bCs/>
          <w:sz w:val="24"/>
          <w:szCs w:val="24"/>
          <w:u w:val="single"/>
        </w:rPr>
        <w:t>:</w:t>
      </w:r>
    </w:p>
    <w:p w14:paraId="6CFEECF7" w14:textId="760C50F6" w:rsidR="00E23226" w:rsidRDefault="31F0D40D" w:rsidP="473EF3AE">
      <w:pPr>
        <w:pStyle w:val="NoSpacing"/>
        <w:widowControl/>
        <w:numPr>
          <w:ilvl w:val="0"/>
          <w:numId w:val="5"/>
        </w:numPr>
        <w:rPr>
          <w:sz w:val="20"/>
          <w:szCs w:val="20"/>
        </w:rPr>
      </w:pPr>
      <w:r w:rsidRPr="473EF3AE">
        <w:rPr>
          <w:sz w:val="20"/>
          <w:szCs w:val="20"/>
        </w:rPr>
        <w:t xml:space="preserve">Review </w:t>
      </w:r>
      <w:r w:rsidR="00E23226" w:rsidRPr="473EF3AE">
        <w:rPr>
          <w:sz w:val="20"/>
          <w:szCs w:val="20"/>
        </w:rPr>
        <w:t xml:space="preserve">the Begin and End Dates of the Grants </w:t>
      </w:r>
      <w:r w:rsidR="04FA4C00" w:rsidRPr="473EF3AE">
        <w:rPr>
          <w:sz w:val="20"/>
          <w:szCs w:val="20"/>
        </w:rPr>
        <w:t xml:space="preserve">on the </w:t>
      </w:r>
      <w:r w:rsidR="00E23226" w:rsidRPr="473EF3AE">
        <w:rPr>
          <w:sz w:val="20"/>
          <w:szCs w:val="20"/>
        </w:rPr>
        <w:t>SEFA and SIS report</w:t>
      </w:r>
      <w:r w:rsidR="1AD60BAF" w:rsidRPr="473EF3AE">
        <w:rPr>
          <w:sz w:val="20"/>
          <w:szCs w:val="20"/>
        </w:rPr>
        <w:t>s</w:t>
      </w:r>
      <w:r w:rsidR="00E23226" w:rsidRPr="473EF3AE">
        <w:rPr>
          <w:sz w:val="20"/>
          <w:szCs w:val="20"/>
        </w:rPr>
        <w:t xml:space="preserve"> </w:t>
      </w:r>
      <w:r w:rsidR="5A9555D4" w:rsidRPr="473EF3AE">
        <w:rPr>
          <w:sz w:val="20"/>
          <w:szCs w:val="20"/>
        </w:rPr>
        <w:t>to ensure they are the actual</w:t>
      </w:r>
      <w:r w:rsidR="00E23226" w:rsidRPr="473EF3AE">
        <w:rPr>
          <w:sz w:val="20"/>
          <w:szCs w:val="20"/>
        </w:rPr>
        <w:t xml:space="preserve"> begin and end dates o</w:t>
      </w:r>
      <w:r w:rsidR="7095B93E" w:rsidRPr="473EF3AE">
        <w:rPr>
          <w:sz w:val="20"/>
          <w:szCs w:val="20"/>
        </w:rPr>
        <w:t xml:space="preserve">n the Notice of Award of Pass-through Grant Agreement.  </w:t>
      </w:r>
      <w:r w:rsidR="00E23226" w:rsidRPr="473EF3AE">
        <w:rPr>
          <w:sz w:val="20"/>
          <w:szCs w:val="20"/>
        </w:rPr>
        <w:t xml:space="preserve"> The query return</w:t>
      </w:r>
      <w:r w:rsidR="5C31267D" w:rsidRPr="473EF3AE">
        <w:rPr>
          <w:sz w:val="20"/>
          <w:szCs w:val="20"/>
        </w:rPr>
        <w:t>s</w:t>
      </w:r>
      <w:r w:rsidR="00E23226" w:rsidRPr="473EF3AE">
        <w:rPr>
          <w:sz w:val="20"/>
          <w:szCs w:val="20"/>
        </w:rPr>
        <w:t xml:space="preserve"> the </w:t>
      </w:r>
      <w:r w:rsidR="0AC64731" w:rsidRPr="473EF3AE">
        <w:rPr>
          <w:sz w:val="20"/>
          <w:szCs w:val="20"/>
        </w:rPr>
        <w:t>E</w:t>
      </w:r>
      <w:r w:rsidR="00E23226" w:rsidRPr="473EF3AE">
        <w:rPr>
          <w:sz w:val="20"/>
          <w:szCs w:val="20"/>
        </w:rPr>
        <w:t xml:space="preserve">nd </w:t>
      </w:r>
      <w:r w:rsidR="41F6E277" w:rsidRPr="473EF3AE">
        <w:rPr>
          <w:sz w:val="20"/>
          <w:szCs w:val="20"/>
        </w:rPr>
        <w:t>D</w:t>
      </w:r>
      <w:r w:rsidR="00E23226" w:rsidRPr="473EF3AE">
        <w:rPr>
          <w:sz w:val="20"/>
          <w:szCs w:val="20"/>
        </w:rPr>
        <w:t>ate from Commitment Control</w:t>
      </w:r>
      <w:r w:rsidR="38B08688" w:rsidRPr="473EF3AE">
        <w:rPr>
          <w:sz w:val="20"/>
          <w:szCs w:val="20"/>
        </w:rPr>
        <w:t xml:space="preserve"> which often differs from the true end date of the grant.</w:t>
      </w:r>
      <w:r w:rsidR="00E23226" w:rsidRPr="473EF3AE">
        <w:rPr>
          <w:sz w:val="20"/>
          <w:szCs w:val="20"/>
        </w:rPr>
        <w:t xml:space="preserve"> </w:t>
      </w:r>
    </w:p>
    <w:p w14:paraId="280DB55A" w14:textId="77777777" w:rsidR="006E3565" w:rsidRDefault="006E3565" w:rsidP="006E3565">
      <w:pPr>
        <w:pStyle w:val="NoSpacing"/>
        <w:widowControl/>
        <w:ind w:left="1440"/>
        <w:rPr>
          <w:sz w:val="20"/>
          <w:szCs w:val="20"/>
        </w:rPr>
      </w:pPr>
    </w:p>
    <w:p w14:paraId="559466D7" w14:textId="11DFC729" w:rsidR="00DC49E6" w:rsidRDefault="22F1A3CA" w:rsidP="473EF3AE">
      <w:pPr>
        <w:pStyle w:val="NoSpacing"/>
        <w:widowControl/>
        <w:numPr>
          <w:ilvl w:val="0"/>
          <w:numId w:val="5"/>
        </w:numPr>
        <w:rPr>
          <w:sz w:val="20"/>
          <w:szCs w:val="20"/>
        </w:rPr>
      </w:pPr>
      <w:r w:rsidRPr="473EF3AE">
        <w:rPr>
          <w:sz w:val="20"/>
          <w:szCs w:val="20"/>
        </w:rPr>
        <w:t xml:space="preserve">Review the </w:t>
      </w:r>
      <w:r w:rsidR="006E3565" w:rsidRPr="473EF3AE">
        <w:rPr>
          <w:sz w:val="20"/>
          <w:szCs w:val="20"/>
        </w:rPr>
        <w:t>Program Name</w:t>
      </w:r>
      <w:r w:rsidR="0FCC0920" w:rsidRPr="473EF3AE">
        <w:rPr>
          <w:sz w:val="20"/>
          <w:szCs w:val="20"/>
        </w:rPr>
        <w:t xml:space="preserve"> on the SEFA and SIS reports</w:t>
      </w:r>
      <w:r w:rsidR="7992D6AA" w:rsidRPr="473EF3AE">
        <w:rPr>
          <w:sz w:val="20"/>
          <w:szCs w:val="20"/>
        </w:rPr>
        <w:t xml:space="preserve"> to ensure the program name is complete.</w:t>
      </w:r>
      <w:r w:rsidR="006E3565" w:rsidRPr="473EF3AE">
        <w:rPr>
          <w:sz w:val="20"/>
          <w:szCs w:val="20"/>
        </w:rPr>
        <w:t xml:space="preserve"> </w:t>
      </w:r>
      <w:r w:rsidR="067178EE" w:rsidRPr="473EF3AE">
        <w:rPr>
          <w:sz w:val="20"/>
          <w:szCs w:val="20"/>
        </w:rPr>
        <w:t xml:space="preserve">The complete Program Name </w:t>
      </w:r>
      <w:r w:rsidR="006E3565" w:rsidRPr="473EF3AE">
        <w:rPr>
          <w:sz w:val="20"/>
          <w:szCs w:val="20"/>
        </w:rPr>
        <w:t xml:space="preserve">needed for the SEFA reporting.  </w:t>
      </w:r>
    </w:p>
    <w:p w14:paraId="1EE4F228" w14:textId="1CEE8908" w:rsidR="00DC49E6" w:rsidRDefault="00DC49E6" w:rsidP="473EF3AE">
      <w:pPr>
        <w:pStyle w:val="NoSpacing"/>
        <w:widowControl/>
        <w:rPr>
          <w:sz w:val="20"/>
          <w:szCs w:val="20"/>
        </w:rPr>
      </w:pPr>
    </w:p>
    <w:p w14:paraId="35F2BE2D" w14:textId="0B5BDDD0" w:rsidR="009905FF" w:rsidRPr="00FB08ED" w:rsidRDefault="23E49E96" w:rsidP="00FB08ED">
      <w:pPr>
        <w:pStyle w:val="NoSpacing"/>
        <w:widowControl/>
        <w:numPr>
          <w:ilvl w:val="0"/>
          <w:numId w:val="5"/>
        </w:numPr>
        <w:rPr>
          <w:sz w:val="20"/>
          <w:szCs w:val="20"/>
        </w:rPr>
      </w:pPr>
      <w:r w:rsidRPr="473EF3AE">
        <w:rPr>
          <w:sz w:val="20"/>
          <w:szCs w:val="20"/>
        </w:rPr>
        <w:t>Compare</w:t>
      </w:r>
      <w:r w:rsidR="00DC49E6" w:rsidRPr="473EF3AE">
        <w:rPr>
          <w:sz w:val="20"/>
          <w:szCs w:val="20"/>
        </w:rPr>
        <w:t xml:space="preserve"> INTERFED </w:t>
      </w:r>
      <w:r w:rsidR="6F0B0272" w:rsidRPr="473EF3AE">
        <w:rPr>
          <w:sz w:val="20"/>
          <w:szCs w:val="20"/>
        </w:rPr>
        <w:t>activity per</w:t>
      </w:r>
      <w:r w:rsidR="00DC49E6" w:rsidRPr="473EF3AE">
        <w:rPr>
          <w:sz w:val="20"/>
          <w:szCs w:val="20"/>
        </w:rPr>
        <w:t xml:space="preserve"> the Trial balance to the SIS supplemental report</w:t>
      </w:r>
      <w:r w:rsidR="53988C9E" w:rsidRPr="473EF3AE">
        <w:rPr>
          <w:sz w:val="20"/>
          <w:szCs w:val="20"/>
        </w:rPr>
        <w:t xml:space="preserve"> to ensure they equal.</w:t>
      </w:r>
    </w:p>
    <w:sectPr w:rsidR="009905FF" w:rsidRPr="00FB08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73CF1"/>
    <w:multiLevelType w:val="hybridMultilevel"/>
    <w:tmpl w:val="5010F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4217E"/>
    <w:multiLevelType w:val="hybridMultilevel"/>
    <w:tmpl w:val="41582426"/>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45738F"/>
    <w:multiLevelType w:val="hybridMultilevel"/>
    <w:tmpl w:val="A9AE03D6"/>
    <w:lvl w:ilvl="0" w:tplc="04090001">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3" w15:restartNumberingAfterBreak="0">
    <w:nsid w:val="16916CA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D271E65"/>
    <w:multiLevelType w:val="hybridMultilevel"/>
    <w:tmpl w:val="3AD2FE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AF25CB"/>
    <w:multiLevelType w:val="hybridMultilevel"/>
    <w:tmpl w:val="10F4A6DC"/>
    <w:lvl w:ilvl="0" w:tplc="04090001">
      <w:start w:val="1"/>
      <w:numFmt w:val="bullet"/>
      <w:lvlText w:val=""/>
      <w:lvlJc w:val="left"/>
      <w:pPr>
        <w:ind w:left="1240" w:hanging="360"/>
      </w:pPr>
      <w:rPr>
        <w:rFonts w:ascii="Symbol" w:hAnsi="Symbol" w:hint="default"/>
      </w:rPr>
    </w:lvl>
    <w:lvl w:ilvl="1" w:tplc="04090003" w:tentative="1">
      <w:start w:val="1"/>
      <w:numFmt w:val="bullet"/>
      <w:lvlText w:val="o"/>
      <w:lvlJc w:val="left"/>
      <w:pPr>
        <w:ind w:left="1960" w:hanging="360"/>
      </w:pPr>
      <w:rPr>
        <w:rFonts w:ascii="Courier New" w:hAnsi="Courier New" w:cs="Courier New"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cs="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cs="Courier New" w:hint="default"/>
      </w:rPr>
    </w:lvl>
    <w:lvl w:ilvl="8" w:tplc="04090005" w:tentative="1">
      <w:start w:val="1"/>
      <w:numFmt w:val="bullet"/>
      <w:lvlText w:val=""/>
      <w:lvlJc w:val="left"/>
      <w:pPr>
        <w:ind w:left="7000" w:hanging="360"/>
      </w:pPr>
      <w:rPr>
        <w:rFonts w:ascii="Wingdings" w:hAnsi="Wingdings" w:hint="default"/>
      </w:rPr>
    </w:lvl>
  </w:abstractNum>
  <w:abstractNum w:abstractNumId="6" w15:restartNumberingAfterBreak="0">
    <w:nsid w:val="3C6C36C7"/>
    <w:multiLevelType w:val="hybridMultilevel"/>
    <w:tmpl w:val="B3B0F406"/>
    <w:lvl w:ilvl="0" w:tplc="04090011">
      <w:start w:val="1"/>
      <w:numFmt w:val="decimal"/>
      <w:lvlText w:val="%1)"/>
      <w:lvlJc w:val="left"/>
      <w:pPr>
        <w:ind w:left="1080" w:hanging="360"/>
      </w:pPr>
      <w:rPr>
        <w:rFonts w:hint="default"/>
      </w:rPr>
    </w:lvl>
    <w:lvl w:ilvl="1" w:tplc="FEB28F7A">
      <w:start w:val="1"/>
      <w:numFmt w:val="upperLetter"/>
      <w:lvlText w:val="%2)"/>
      <w:lvlJc w:val="left"/>
      <w:pPr>
        <w:ind w:left="1800" w:hanging="360"/>
      </w:pPr>
      <w:rPr>
        <w:rFonts w:hint="default"/>
      </w:rPr>
    </w:lvl>
    <w:lvl w:ilvl="2" w:tplc="DA2A2590">
      <w:start w:val="1"/>
      <w:numFmt w:val="decimal"/>
      <w:lvlText w:val="%3)"/>
      <w:lvlJc w:val="left"/>
      <w:pPr>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AD45C44"/>
    <w:multiLevelType w:val="hybridMultilevel"/>
    <w:tmpl w:val="C5166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160775"/>
    <w:multiLevelType w:val="hybridMultilevel"/>
    <w:tmpl w:val="75085812"/>
    <w:lvl w:ilvl="0" w:tplc="04090001">
      <w:start w:val="1"/>
      <w:numFmt w:val="bullet"/>
      <w:lvlText w:val=""/>
      <w:lvlJc w:val="left"/>
      <w:pPr>
        <w:ind w:left="1240" w:hanging="360"/>
      </w:pPr>
      <w:rPr>
        <w:rFonts w:ascii="Symbol" w:hAnsi="Symbol" w:hint="default"/>
      </w:rPr>
    </w:lvl>
    <w:lvl w:ilvl="1" w:tplc="04090003" w:tentative="1">
      <w:start w:val="1"/>
      <w:numFmt w:val="bullet"/>
      <w:lvlText w:val="o"/>
      <w:lvlJc w:val="left"/>
      <w:pPr>
        <w:ind w:left="1960" w:hanging="360"/>
      </w:pPr>
      <w:rPr>
        <w:rFonts w:ascii="Courier New" w:hAnsi="Courier New" w:cs="Courier New"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cs="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cs="Courier New" w:hint="default"/>
      </w:rPr>
    </w:lvl>
    <w:lvl w:ilvl="8" w:tplc="04090005" w:tentative="1">
      <w:start w:val="1"/>
      <w:numFmt w:val="bullet"/>
      <w:lvlText w:val=""/>
      <w:lvlJc w:val="left"/>
      <w:pPr>
        <w:ind w:left="7000" w:hanging="360"/>
      </w:pPr>
      <w:rPr>
        <w:rFonts w:ascii="Wingdings" w:hAnsi="Wingdings" w:hint="default"/>
      </w:rPr>
    </w:lvl>
  </w:abstractNum>
  <w:abstractNum w:abstractNumId="9" w15:restartNumberingAfterBreak="0">
    <w:nsid w:val="56474947"/>
    <w:multiLevelType w:val="hybridMultilevel"/>
    <w:tmpl w:val="0360D7AA"/>
    <w:lvl w:ilvl="0" w:tplc="505C39FC">
      <w:start w:val="1"/>
      <w:numFmt w:val="bullet"/>
      <w:lvlText w:val=""/>
      <w:lvlJc w:val="left"/>
      <w:pPr>
        <w:ind w:left="720" w:hanging="360"/>
      </w:pPr>
      <w:rPr>
        <w:rFonts w:ascii="Symbol" w:hAnsi="Symbol" w:hint="default"/>
      </w:rPr>
    </w:lvl>
    <w:lvl w:ilvl="1" w:tplc="D9FAD694">
      <w:start w:val="1"/>
      <w:numFmt w:val="bullet"/>
      <w:lvlText w:val="o"/>
      <w:lvlJc w:val="left"/>
      <w:pPr>
        <w:ind w:left="1440" w:hanging="360"/>
      </w:pPr>
      <w:rPr>
        <w:rFonts w:ascii="Courier New" w:hAnsi="Courier New" w:hint="default"/>
      </w:rPr>
    </w:lvl>
    <w:lvl w:ilvl="2" w:tplc="7EF4BD5E">
      <w:start w:val="1"/>
      <w:numFmt w:val="bullet"/>
      <w:lvlText w:val=""/>
      <w:lvlJc w:val="left"/>
      <w:pPr>
        <w:ind w:left="2160" w:hanging="360"/>
      </w:pPr>
      <w:rPr>
        <w:rFonts w:ascii="Wingdings" w:hAnsi="Wingdings" w:hint="default"/>
      </w:rPr>
    </w:lvl>
    <w:lvl w:ilvl="3" w:tplc="317A7E4A">
      <w:start w:val="1"/>
      <w:numFmt w:val="bullet"/>
      <w:lvlText w:val=""/>
      <w:lvlJc w:val="left"/>
      <w:pPr>
        <w:ind w:left="2880" w:hanging="360"/>
      </w:pPr>
      <w:rPr>
        <w:rFonts w:ascii="Symbol" w:hAnsi="Symbol" w:hint="default"/>
      </w:rPr>
    </w:lvl>
    <w:lvl w:ilvl="4" w:tplc="7E0C1518">
      <w:start w:val="1"/>
      <w:numFmt w:val="bullet"/>
      <w:lvlText w:val="o"/>
      <w:lvlJc w:val="left"/>
      <w:pPr>
        <w:ind w:left="3600" w:hanging="360"/>
      </w:pPr>
      <w:rPr>
        <w:rFonts w:ascii="Courier New" w:hAnsi="Courier New" w:hint="default"/>
      </w:rPr>
    </w:lvl>
    <w:lvl w:ilvl="5" w:tplc="8102CE26">
      <w:start w:val="1"/>
      <w:numFmt w:val="bullet"/>
      <w:lvlText w:val=""/>
      <w:lvlJc w:val="left"/>
      <w:pPr>
        <w:ind w:left="4320" w:hanging="360"/>
      </w:pPr>
      <w:rPr>
        <w:rFonts w:ascii="Wingdings" w:hAnsi="Wingdings" w:hint="default"/>
      </w:rPr>
    </w:lvl>
    <w:lvl w:ilvl="6" w:tplc="0FB84E8E">
      <w:start w:val="1"/>
      <w:numFmt w:val="bullet"/>
      <w:lvlText w:val=""/>
      <w:lvlJc w:val="left"/>
      <w:pPr>
        <w:ind w:left="5040" w:hanging="360"/>
      </w:pPr>
      <w:rPr>
        <w:rFonts w:ascii="Symbol" w:hAnsi="Symbol" w:hint="default"/>
      </w:rPr>
    </w:lvl>
    <w:lvl w:ilvl="7" w:tplc="F5EABCDE">
      <w:start w:val="1"/>
      <w:numFmt w:val="bullet"/>
      <w:lvlText w:val="o"/>
      <w:lvlJc w:val="left"/>
      <w:pPr>
        <w:ind w:left="5760" w:hanging="360"/>
      </w:pPr>
      <w:rPr>
        <w:rFonts w:ascii="Courier New" w:hAnsi="Courier New" w:hint="default"/>
      </w:rPr>
    </w:lvl>
    <w:lvl w:ilvl="8" w:tplc="157219FE">
      <w:start w:val="1"/>
      <w:numFmt w:val="bullet"/>
      <w:lvlText w:val=""/>
      <w:lvlJc w:val="left"/>
      <w:pPr>
        <w:ind w:left="6480" w:hanging="360"/>
      </w:pPr>
      <w:rPr>
        <w:rFonts w:ascii="Wingdings" w:hAnsi="Wingdings" w:hint="default"/>
      </w:rPr>
    </w:lvl>
  </w:abstractNum>
  <w:abstractNum w:abstractNumId="10" w15:restartNumberingAfterBreak="0">
    <w:nsid w:val="56491168"/>
    <w:multiLevelType w:val="hybridMultilevel"/>
    <w:tmpl w:val="DC0C6614"/>
    <w:lvl w:ilvl="0" w:tplc="9682A496">
      <w:start w:val="1"/>
      <w:numFmt w:val="bullet"/>
      <w:lvlText w:val=""/>
      <w:lvlJc w:val="left"/>
      <w:pPr>
        <w:ind w:left="720" w:hanging="360"/>
      </w:pPr>
      <w:rPr>
        <w:rFonts w:ascii="Symbol" w:hAnsi="Symbol" w:hint="default"/>
      </w:rPr>
    </w:lvl>
    <w:lvl w:ilvl="1" w:tplc="8C2869F2">
      <w:start w:val="1"/>
      <w:numFmt w:val="bullet"/>
      <w:lvlText w:val="o"/>
      <w:lvlJc w:val="left"/>
      <w:pPr>
        <w:ind w:left="1440" w:hanging="360"/>
      </w:pPr>
      <w:rPr>
        <w:rFonts w:ascii="Courier New" w:hAnsi="Courier New" w:hint="default"/>
      </w:rPr>
    </w:lvl>
    <w:lvl w:ilvl="2" w:tplc="FDE01252">
      <w:start w:val="1"/>
      <w:numFmt w:val="bullet"/>
      <w:lvlText w:val=""/>
      <w:lvlJc w:val="left"/>
      <w:pPr>
        <w:ind w:left="2160" w:hanging="360"/>
      </w:pPr>
      <w:rPr>
        <w:rFonts w:ascii="Wingdings" w:hAnsi="Wingdings" w:hint="default"/>
      </w:rPr>
    </w:lvl>
    <w:lvl w:ilvl="3" w:tplc="4D24D62A">
      <w:start w:val="1"/>
      <w:numFmt w:val="bullet"/>
      <w:lvlText w:val=""/>
      <w:lvlJc w:val="left"/>
      <w:pPr>
        <w:ind w:left="2880" w:hanging="360"/>
      </w:pPr>
      <w:rPr>
        <w:rFonts w:ascii="Symbol" w:hAnsi="Symbol" w:hint="default"/>
      </w:rPr>
    </w:lvl>
    <w:lvl w:ilvl="4" w:tplc="C66E0EC2">
      <w:start w:val="1"/>
      <w:numFmt w:val="bullet"/>
      <w:lvlText w:val="o"/>
      <w:lvlJc w:val="left"/>
      <w:pPr>
        <w:ind w:left="3600" w:hanging="360"/>
      </w:pPr>
      <w:rPr>
        <w:rFonts w:ascii="Courier New" w:hAnsi="Courier New" w:hint="default"/>
      </w:rPr>
    </w:lvl>
    <w:lvl w:ilvl="5" w:tplc="6950A464">
      <w:start w:val="1"/>
      <w:numFmt w:val="bullet"/>
      <w:lvlText w:val=""/>
      <w:lvlJc w:val="left"/>
      <w:pPr>
        <w:ind w:left="4320" w:hanging="360"/>
      </w:pPr>
      <w:rPr>
        <w:rFonts w:ascii="Wingdings" w:hAnsi="Wingdings" w:hint="default"/>
      </w:rPr>
    </w:lvl>
    <w:lvl w:ilvl="6" w:tplc="26BEC2EC">
      <w:start w:val="1"/>
      <w:numFmt w:val="bullet"/>
      <w:lvlText w:val=""/>
      <w:lvlJc w:val="left"/>
      <w:pPr>
        <w:ind w:left="5040" w:hanging="360"/>
      </w:pPr>
      <w:rPr>
        <w:rFonts w:ascii="Symbol" w:hAnsi="Symbol" w:hint="default"/>
      </w:rPr>
    </w:lvl>
    <w:lvl w:ilvl="7" w:tplc="886278F6">
      <w:start w:val="1"/>
      <w:numFmt w:val="bullet"/>
      <w:lvlText w:val="o"/>
      <w:lvlJc w:val="left"/>
      <w:pPr>
        <w:ind w:left="5760" w:hanging="360"/>
      </w:pPr>
      <w:rPr>
        <w:rFonts w:ascii="Courier New" w:hAnsi="Courier New" w:hint="default"/>
      </w:rPr>
    </w:lvl>
    <w:lvl w:ilvl="8" w:tplc="FC2E16E6">
      <w:start w:val="1"/>
      <w:numFmt w:val="bullet"/>
      <w:lvlText w:val=""/>
      <w:lvlJc w:val="left"/>
      <w:pPr>
        <w:ind w:left="6480" w:hanging="360"/>
      </w:pPr>
      <w:rPr>
        <w:rFonts w:ascii="Wingdings" w:hAnsi="Wingdings" w:hint="default"/>
      </w:rPr>
    </w:lvl>
  </w:abstractNum>
  <w:abstractNum w:abstractNumId="11" w15:restartNumberingAfterBreak="0">
    <w:nsid w:val="5BBB5DD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C638028"/>
    <w:multiLevelType w:val="hybridMultilevel"/>
    <w:tmpl w:val="BFFA5DE2"/>
    <w:lvl w:ilvl="0" w:tplc="0A8E639A">
      <w:start w:val="1"/>
      <w:numFmt w:val="decimal"/>
      <w:lvlText w:val="%1."/>
      <w:lvlJc w:val="left"/>
      <w:pPr>
        <w:ind w:left="720" w:hanging="360"/>
      </w:pPr>
    </w:lvl>
    <w:lvl w:ilvl="1" w:tplc="A5540C9C">
      <w:start w:val="1"/>
      <w:numFmt w:val="lowerLetter"/>
      <w:lvlText w:val="%2."/>
      <w:lvlJc w:val="left"/>
      <w:pPr>
        <w:ind w:left="1440" w:hanging="360"/>
      </w:pPr>
    </w:lvl>
    <w:lvl w:ilvl="2" w:tplc="0C78DA1C">
      <w:start w:val="1"/>
      <w:numFmt w:val="lowerRoman"/>
      <w:lvlText w:val="%3."/>
      <w:lvlJc w:val="right"/>
      <w:pPr>
        <w:ind w:left="2160" w:hanging="180"/>
      </w:pPr>
    </w:lvl>
    <w:lvl w:ilvl="3" w:tplc="F7E00C56">
      <w:start w:val="1"/>
      <w:numFmt w:val="decimal"/>
      <w:lvlText w:val="%4."/>
      <w:lvlJc w:val="left"/>
      <w:pPr>
        <w:ind w:left="2880" w:hanging="360"/>
      </w:pPr>
    </w:lvl>
    <w:lvl w:ilvl="4" w:tplc="8780D2A8">
      <w:start w:val="1"/>
      <w:numFmt w:val="lowerLetter"/>
      <w:lvlText w:val="%5."/>
      <w:lvlJc w:val="left"/>
      <w:pPr>
        <w:ind w:left="3600" w:hanging="360"/>
      </w:pPr>
    </w:lvl>
    <w:lvl w:ilvl="5" w:tplc="2D5A555A">
      <w:start w:val="1"/>
      <w:numFmt w:val="lowerRoman"/>
      <w:lvlText w:val="%6."/>
      <w:lvlJc w:val="right"/>
      <w:pPr>
        <w:ind w:left="4320" w:hanging="180"/>
      </w:pPr>
    </w:lvl>
    <w:lvl w:ilvl="6" w:tplc="EDC8A52A">
      <w:start w:val="1"/>
      <w:numFmt w:val="decimal"/>
      <w:lvlText w:val="%7."/>
      <w:lvlJc w:val="left"/>
      <w:pPr>
        <w:ind w:left="5040" w:hanging="360"/>
      </w:pPr>
    </w:lvl>
    <w:lvl w:ilvl="7" w:tplc="E53CE3CC">
      <w:start w:val="1"/>
      <w:numFmt w:val="lowerLetter"/>
      <w:lvlText w:val="%8."/>
      <w:lvlJc w:val="left"/>
      <w:pPr>
        <w:ind w:left="5760" w:hanging="360"/>
      </w:pPr>
    </w:lvl>
    <w:lvl w:ilvl="8" w:tplc="9D08D4A8">
      <w:start w:val="1"/>
      <w:numFmt w:val="lowerRoman"/>
      <w:lvlText w:val="%9."/>
      <w:lvlJc w:val="right"/>
      <w:pPr>
        <w:ind w:left="6480" w:hanging="180"/>
      </w:pPr>
    </w:lvl>
  </w:abstractNum>
  <w:abstractNum w:abstractNumId="13" w15:restartNumberingAfterBreak="0">
    <w:nsid w:val="782D28E0"/>
    <w:multiLevelType w:val="hybridMultilevel"/>
    <w:tmpl w:val="B3B0F406"/>
    <w:lvl w:ilvl="0" w:tplc="FFFFFFFF">
      <w:start w:val="1"/>
      <w:numFmt w:val="decimal"/>
      <w:lvlText w:val="%1)"/>
      <w:lvlJc w:val="left"/>
      <w:pPr>
        <w:ind w:left="1080" w:hanging="360"/>
      </w:pPr>
      <w:rPr>
        <w:rFonts w:hint="default"/>
      </w:rPr>
    </w:lvl>
    <w:lvl w:ilvl="1" w:tplc="FFFFFFFF">
      <w:start w:val="1"/>
      <w:numFmt w:val="upperLetter"/>
      <w:lvlText w:val="%2)"/>
      <w:lvlJc w:val="left"/>
      <w:pPr>
        <w:ind w:left="1800" w:hanging="360"/>
      </w:pPr>
      <w:rPr>
        <w:rFonts w:hint="default"/>
      </w:rPr>
    </w:lvl>
    <w:lvl w:ilvl="2" w:tplc="FFFFFFFF">
      <w:start w:val="1"/>
      <w:numFmt w:val="decimal"/>
      <w:lvlText w:val="%3)"/>
      <w:lvlJc w:val="left"/>
      <w:pPr>
        <w:ind w:left="2520" w:hanging="360"/>
      </w:pPr>
      <w:rPr>
        <w:rFont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4" w15:restartNumberingAfterBreak="0">
    <w:nsid w:val="7AB302B4"/>
    <w:multiLevelType w:val="hybridMultilevel"/>
    <w:tmpl w:val="B40E27A8"/>
    <w:lvl w:ilvl="0" w:tplc="CA583AC6">
      <w:start w:val="1"/>
      <w:numFmt w:val="bullet"/>
      <w:lvlText w:val=""/>
      <w:lvlJc w:val="left"/>
      <w:pPr>
        <w:ind w:left="720" w:hanging="360"/>
      </w:pPr>
      <w:rPr>
        <w:rFonts w:ascii="Symbol" w:hAnsi="Symbol" w:hint="default"/>
      </w:rPr>
    </w:lvl>
    <w:lvl w:ilvl="1" w:tplc="0A06CC14">
      <w:start w:val="1"/>
      <w:numFmt w:val="bullet"/>
      <w:lvlText w:val="o"/>
      <w:lvlJc w:val="left"/>
      <w:pPr>
        <w:ind w:left="1440" w:hanging="360"/>
      </w:pPr>
      <w:rPr>
        <w:rFonts w:ascii="Courier New" w:hAnsi="Courier New" w:hint="default"/>
      </w:rPr>
    </w:lvl>
    <w:lvl w:ilvl="2" w:tplc="948AEAE6">
      <w:start w:val="1"/>
      <w:numFmt w:val="bullet"/>
      <w:lvlText w:val=""/>
      <w:lvlJc w:val="left"/>
      <w:pPr>
        <w:ind w:left="2160" w:hanging="360"/>
      </w:pPr>
      <w:rPr>
        <w:rFonts w:ascii="Wingdings" w:hAnsi="Wingdings" w:hint="default"/>
      </w:rPr>
    </w:lvl>
    <w:lvl w:ilvl="3" w:tplc="FCC83456">
      <w:start w:val="1"/>
      <w:numFmt w:val="bullet"/>
      <w:lvlText w:val=""/>
      <w:lvlJc w:val="left"/>
      <w:pPr>
        <w:ind w:left="2880" w:hanging="360"/>
      </w:pPr>
      <w:rPr>
        <w:rFonts w:ascii="Symbol" w:hAnsi="Symbol" w:hint="default"/>
      </w:rPr>
    </w:lvl>
    <w:lvl w:ilvl="4" w:tplc="2B8E608A">
      <w:start w:val="1"/>
      <w:numFmt w:val="bullet"/>
      <w:lvlText w:val="o"/>
      <w:lvlJc w:val="left"/>
      <w:pPr>
        <w:ind w:left="3600" w:hanging="360"/>
      </w:pPr>
      <w:rPr>
        <w:rFonts w:ascii="Courier New" w:hAnsi="Courier New" w:hint="default"/>
      </w:rPr>
    </w:lvl>
    <w:lvl w:ilvl="5" w:tplc="F0466814">
      <w:start w:val="1"/>
      <w:numFmt w:val="bullet"/>
      <w:lvlText w:val=""/>
      <w:lvlJc w:val="left"/>
      <w:pPr>
        <w:ind w:left="4320" w:hanging="360"/>
      </w:pPr>
      <w:rPr>
        <w:rFonts w:ascii="Wingdings" w:hAnsi="Wingdings" w:hint="default"/>
      </w:rPr>
    </w:lvl>
    <w:lvl w:ilvl="6" w:tplc="32BA56CE">
      <w:start w:val="1"/>
      <w:numFmt w:val="bullet"/>
      <w:lvlText w:val=""/>
      <w:lvlJc w:val="left"/>
      <w:pPr>
        <w:ind w:left="5040" w:hanging="360"/>
      </w:pPr>
      <w:rPr>
        <w:rFonts w:ascii="Symbol" w:hAnsi="Symbol" w:hint="default"/>
      </w:rPr>
    </w:lvl>
    <w:lvl w:ilvl="7" w:tplc="7CB46B86">
      <w:start w:val="1"/>
      <w:numFmt w:val="bullet"/>
      <w:lvlText w:val="o"/>
      <w:lvlJc w:val="left"/>
      <w:pPr>
        <w:ind w:left="5760" w:hanging="360"/>
      </w:pPr>
      <w:rPr>
        <w:rFonts w:ascii="Courier New" w:hAnsi="Courier New" w:hint="default"/>
      </w:rPr>
    </w:lvl>
    <w:lvl w:ilvl="8" w:tplc="7F0A0AA8">
      <w:start w:val="1"/>
      <w:numFmt w:val="bullet"/>
      <w:lvlText w:val=""/>
      <w:lvlJc w:val="left"/>
      <w:pPr>
        <w:ind w:left="6480" w:hanging="360"/>
      </w:pPr>
      <w:rPr>
        <w:rFonts w:ascii="Wingdings" w:hAnsi="Wingdings" w:hint="default"/>
      </w:rPr>
    </w:lvl>
  </w:abstractNum>
  <w:abstractNum w:abstractNumId="15" w15:restartNumberingAfterBreak="0">
    <w:nsid w:val="7E1DA564"/>
    <w:multiLevelType w:val="hybridMultilevel"/>
    <w:tmpl w:val="2D28C5C6"/>
    <w:lvl w:ilvl="0" w:tplc="F9364670">
      <w:start w:val="1"/>
      <w:numFmt w:val="decimal"/>
      <w:lvlText w:val="%1."/>
      <w:lvlJc w:val="left"/>
      <w:pPr>
        <w:ind w:left="720" w:hanging="360"/>
      </w:pPr>
    </w:lvl>
    <w:lvl w:ilvl="1" w:tplc="B4247A0C">
      <w:start w:val="1"/>
      <w:numFmt w:val="lowerLetter"/>
      <w:lvlText w:val="%2."/>
      <w:lvlJc w:val="left"/>
      <w:pPr>
        <w:ind w:left="1440" w:hanging="360"/>
      </w:pPr>
    </w:lvl>
    <w:lvl w:ilvl="2" w:tplc="BAC483FA">
      <w:start w:val="1"/>
      <w:numFmt w:val="lowerRoman"/>
      <w:lvlText w:val="%3."/>
      <w:lvlJc w:val="right"/>
      <w:pPr>
        <w:ind w:left="2160" w:hanging="180"/>
      </w:pPr>
    </w:lvl>
    <w:lvl w:ilvl="3" w:tplc="ACFA6B84">
      <w:start w:val="1"/>
      <w:numFmt w:val="decimal"/>
      <w:lvlText w:val="%4."/>
      <w:lvlJc w:val="left"/>
      <w:pPr>
        <w:ind w:left="2880" w:hanging="360"/>
      </w:pPr>
    </w:lvl>
    <w:lvl w:ilvl="4" w:tplc="35B82580">
      <w:start w:val="1"/>
      <w:numFmt w:val="lowerLetter"/>
      <w:lvlText w:val="%5."/>
      <w:lvlJc w:val="left"/>
      <w:pPr>
        <w:ind w:left="3600" w:hanging="360"/>
      </w:pPr>
    </w:lvl>
    <w:lvl w:ilvl="5" w:tplc="1C58A9EC">
      <w:start w:val="1"/>
      <w:numFmt w:val="lowerRoman"/>
      <w:lvlText w:val="%6."/>
      <w:lvlJc w:val="right"/>
      <w:pPr>
        <w:ind w:left="4320" w:hanging="180"/>
      </w:pPr>
    </w:lvl>
    <w:lvl w:ilvl="6" w:tplc="5406D7BA">
      <w:start w:val="1"/>
      <w:numFmt w:val="decimal"/>
      <w:lvlText w:val="%7."/>
      <w:lvlJc w:val="left"/>
      <w:pPr>
        <w:ind w:left="5040" w:hanging="360"/>
      </w:pPr>
    </w:lvl>
    <w:lvl w:ilvl="7" w:tplc="94424652">
      <w:start w:val="1"/>
      <w:numFmt w:val="lowerLetter"/>
      <w:lvlText w:val="%8."/>
      <w:lvlJc w:val="left"/>
      <w:pPr>
        <w:ind w:left="5760" w:hanging="360"/>
      </w:pPr>
    </w:lvl>
    <w:lvl w:ilvl="8" w:tplc="14B262F0">
      <w:start w:val="1"/>
      <w:numFmt w:val="lowerRoman"/>
      <w:lvlText w:val="%9."/>
      <w:lvlJc w:val="right"/>
      <w:pPr>
        <w:ind w:left="6480" w:hanging="180"/>
      </w:pPr>
    </w:lvl>
  </w:abstractNum>
  <w:num w:numId="1" w16cid:durableId="566914762">
    <w:abstractNumId w:val="10"/>
  </w:num>
  <w:num w:numId="2" w16cid:durableId="2059546098">
    <w:abstractNumId w:val="15"/>
  </w:num>
  <w:num w:numId="3" w16cid:durableId="29234109">
    <w:abstractNumId w:val="12"/>
  </w:num>
  <w:num w:numId="4" w16cid:durableId="716389763">
    <w:abstractNumId w:val="9"/>
  </w:num>
  <w:num w:numId="5" w16cid:durableId="689989660">
    <w:abstractNumId w:val="14"/>
  </w:num>
  <w:num w:numId="6" w16cid:durableId="378356652">
    <w:abstractNumId w:val="6"/>
  </w:num>
  <w:num w:numId="7" w16cid:durableId="1382166451">
    <w:abstractNumId w:val="3"/>
  </w:num>
  <w:num w:numId="8" w16cid:durableId="1340425982">
    <w:abstractNumId w:val="8"/>
  </w:num>
  <w:num w:numId="9" w16cid:durableId="474177003">
    <w:abstractNumId w:val="5"/>
  </w:num>
  <w:num w:numId="10" w16cid:durableId="47539209">
    <w:abstractNumId w:val="2"/>
  </w:num>
  <w:num w:numId="11" w16cid:durableId="122692950">
    <w:abstractNumId w:val="1"/>
  </w:num>
  <w:num w:numId="12" w16cid:durableId="592973090">
    <w:abstractNumId w:val="0"/>
  </w:num>
  <w:num w:numId="13" w16cid:durableId="1097598737">
    <w:abstractNumId w:val="7"/>
  </w:num>
  <w:num w:numId="14" w16cid:durableId="1709988781">
    <w:abstractNumId w:val="13"/>
  </w:num>
  <w:num w:numId="15" w16cid:durableId="1876888986">
    <w:abstractNumId w:val="11"/>
  </w:num>
  <w:num w:numId="16" w16cid:durableId="19081086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226"/>
    <w:rsid w:val="00113CFE"/>
    <w:rsid w:val="001265CE"/>
    <w:rsid w:val="00177C7B"/>
    <w:rsid w:val="00261408"/>
    <w:rsid w:val="002C7E21"/>
    <w:rsid w:val="002CEACE"/>
    <w:rsid w:val="003179DE"/>
    <w:rsid w:val="00364906"/>
    <w:rsid w:val="003D0917"/>
    <w:rsid w:val="004600E4"/>
    <w:rsid w:val="00502DA4"/>
    <w:rsid w:val="00677451"/>
    <w:rsid w:val="00695AEA"/>
    <w:rsid w:val="006A32AC"/>
    <w:rsid w:val="006E3565"/>
    <w:rsid w:val="00743B82"/>
    <w:rsid w:val="007733A1"/>
    <w:rsid w:val="007D688D"/>
    <w:rsid w:val="00830CA4"/>
    <w:rsid w:val="008E6BAF"/>
    <w:rsid w:val="009660AE"/>
    <w:rsid w:val="009672A7"/>
    <w:rsid w:val="009905FF"/>
    <w:rsid w:val="00A04D12"/>
    <w:rsid w:val="00AA49A4"/>
    <w:rsid w:val="00AB0CFF"/>
    <w:rsid w:val="00AE4453"/>
    <w:rsid w:val="00AF1561"/>
    <w:rsid w:val="00B25399"/>
    <w:rsid w:val="00B708E4"/>
    <w:rsid w:val="00B856C0"/>
    <w:rsid w:val="00BB4E5E"/>
    <w:rsid w:val="00BC526A"/>
    <w:rsid w:val="00BE1C18"/>
    <w:rsid w:val="00BF6011"/>
    <w:rsid w:val="00C575AC"/>
    <w:rsid w:val="00C89E20"/>
    <w:rsid w:val="00C918EE"/>
    <w:rsid w:val="00CB6ADD"/>
    <w:rsid w:val="00CE6D58"/>
    <w:rsid w:val="00D964AF"/>
    <w:rsid w:val="00DC49E6"/>
    <w:rsid w:val="00E23226"/>
    <w:rsid w:val="00E66D7B"/>
    <w:rsid w:val="00ED4A9F"/>
    <w:rsid w:val="00F516C1"/>
    <w:rsid w:val="00FB08ED"/>
    <w:rsid w:val="02BA1367"/>
    <w:rsid w:val="03BF1CC2"/>
    <w:rsid w:val="03FD81F7"/>
    <w:rsid w:val="04FA4C00"/>
    <w:rsid w:val="0656C3E1"/>
    <w:rsid w:val="067178EE"/>
    <w:rsid w:val="07161233"/>
    <w:rsid w:val="07632251"/>
    <w:rsid w:val="090AE640"/>
    <w:rsid w:val="0A7CC3C1"/>
    <w:rsid w:val="0AC64731"/>
    <w:rsid w:val="0BF45F0C"/>
    <w:rsid w:val="0C369374"/>
    <w:rsid w:val="0C74CF34"/>
    <w:rsid w:val="0CC4A49F"/>
    <w:rsid w:val="0FCC0920"/>
    <w:rsid w:val="10CB543A"/>
    <w:rsid w:val="14B16EBB"/>
    <w:rsid w:val="184B1F45"/>
    <w:rsid w:val="19125214"/>
    <w:rsid w:val="1967EE43"/>
    <w:rsid w:val="1AD60BAF"/>
    <w:rsid w:val="1BBA774A"/>
    <w:rsid w:val="1BF14AC9"/>
    <w:rsid w:val="1BFE4BB7"/>
    <w:rsid w:val="1CCE8BBC"/>
    <w:rsid w:val="1CEE183C"/>
    <w:rsid w:val="1D869F3E"/>
    <w:rsid w:val="1DB34D6E"/>
    <w:rsid w:val="1EC32235"/>
    <w:rsid w:val="1F032B8E"/>
    <w:rsid w:val="1F4D6A22"/>
    <w:rsid w:val="2165CB40"/>
    <w:rsid w:val="21FAC2F7"/>
    <w:rsid w:val="222E7F0F"/>
    <w:rsid w:val="22526775"/>
    <w:rsid w:val="22F1A3CA"/>
    <w:rsid w:val="23D69CB1"/>
    <w:rsid w:val="23E49E96"/>
    <w:rsid w:val="261E8A5E"/>
    <w:rsid w:val="27C39F9A"/>
    <w:rsid w:val="2827C063"/>
    <w:rsid w:val="28D59465"/>
    <w:rsid w:val="2914C58F"/>
    <w:rsid w:val="29731214"/>
    <w:rsid w:val="29B873A7"/>
    <w:rsid w:val="2A4E5F0E"/>
    <w:rsid w:val="2A8D73A0"/>
    <w:rsid w:val="2AA11C1E"/>
    <w:rsid w:val="2B2A5128"/>
    <w:rsid w:val="2B464878"/>
    <w:rsid w:val="2FA1C316"/>
    <w:rsid w:val="305C3979"/>
    <w:rsid w:val="31F0D40D"/>
    <w:rsid w:val="32FD6C2F"/>
    <w:rsid w:val="34993C90"/>
    <w:rsid w:val="34ED2ABE"/>
    <w:rsid w:val="35907E62"/>
    <w:rsid w:val="36350CF1"/>
    <w:rsid w:val="375EF796"/>
    <w:rsid w:val="37D0DD52"/>
    <w:rsid w:val="37D6A6B4"/>
    <w:rsid w:val="38B08688"/>
    <w:rsid w:val="39EEFE82"/>
    <w:rsid w:val="3A63EF85"/>
    <w:rsid w:val="3B1ECB61"/>
    <w:rsid w:val="3B369C95"/>
    <w:rsid w:val="3C92639D"/>
    <w:rsid w:val="3CC61FB5"/>
    <w:rsid w:val="3D002A29"/>
    <w:rsid w:val="3D8267EA"/>
    <w:rsid w:val="3DB63138"/>
    <w:rsid w:val="3DBC6932"/>
    <w:rsid w:val="3E409B54"/>
    <w:rsid w:val="3E875257"/>
    <w:rsid w:val="3E9BFA8A"/>
    <w:rsid w:val="3F763883"/>
    <w:rsid w:val="3FCA045F"/>
    <w:rsid w:val="3FFDC077"/>
    <w:rsid w:val="419990D8"/>
    <w:rsid w:val="41CD672F"/>
    <w:rsid w:val="41F3E5EB"/>
    <w:rsid w:val="41F6E277"/>
    <w:rsid w:val="429A87FB"/>
    <w:rsid w:val="42EB459E"/>
    <w:rsid w:val="4305D401"/>
    <w:rsid w:val="441DA039"/>
    <w:rsid w:val="46746DEA"/>
    <w:rsid w:val="473EF3AE"/>
    <w:rsid w:val="475F92DA"/>
    <w:rsid w:val="476A69DE"/>
    <w:rsid w:val="48CFCBAE"/>
    <w:rsid w:val="4921A8F2"/>
    <w:rsid w:val="495C9301"/>
    <w:rsid w:val="4AF2BAC3"/>
    <w:rsid w:val="4B654781"/>
    <w:rsid w:val="4D164DF3"/>
    <w:rsid w:val="4EB21E54"/>
    <w:rsid w:val="4FC84195"/>
    <w:rsid w:val="50CFAD16"/>
    <w:rsid w:val="50D3EB1C"/>
    <w:rsid w:val="50FBB307"/>
    <w:rsid w:val="51D096B9"/>
    <w:rsid w:val="5220FBF3"/>
    <w:rsid w:val="52A52E15"/>
    <w:rsid w:val="53988C9E"/>
    <w:rsid w:val="54B549F1"/>
    <w:rsid w:val="54FB902B"/>
    <w:rsid w:val="5568663B"/>
    <w:rsid w:val="55857276"/>
    <w:rsid w:val="55CA2C5C"/>
    <w:rsid w:val="57A926DE"/>
    <w:rsid w:val="57CB6D86"/>
    <w:rsid w:val="58A2CDFA"/>
    <w:rsid w:val="5953E5CF"/>
    <w:rsid w:val="5A512361"/>
    <w:rsid w:val="5A61A505"/>
    <w:rsid w:val="5A9555D4"/>
    <w:rsid w:val="5A9C8BE9"/>
    <w:rsid w:val="5BC9173E"/>
    <w:rsid w:val="5C31267D"/>
    <w:rsid w:val="5C7EADC5"/>
    <w:rsid w:val="5D07BB65"/>
    <w:rsid w:val="5D3228A1"/>
    <w:rsid w:val="5E986F34"/>
    <w:rsid w:val="5EE87E78"/>
    <w:rsid w:val="5EFB2B44"/>
    <w:rsid w:val="61C0EAD6"/>
    <w:rsid w:val="62C71356"/>
    <w:rsid w:val="62F0ED9E"/>
    <w:rsid w:val="63506DF6"/>
    <w:rsid w:val="638841C8"/>
    <w:rsid w:val="64763E27"/>
    <w:rsid w:val="64EC3E57"/>
    <w:rsid w:val="64F388D2"/>
    <w:rsid w:val="6546936A"/>
    <w:rsid w:val="65F8F5DB"/>
    <w:rsid w:val="6786C29A"/>
    <w:rsid w:val="683902A2"/>
    <w:rsid w:val="68860382"/>
    <w:rsid w:val="68A16B55"/>
    <w:rsid w:val="6932E008"/>
    <w:rsid w:val="69A6871D"/>
    <w:rsid w:val="69DECB29"/>
    <w:rsid w:val="6B89877D"/>
    <w:rsid w:val="6B9353AD"/>
    <w:rsid w:val="6C68375F"/>
    <w:rsid w:val="6D29A11C"/>
    <w:rsid w:val="6DAE95AB"/>
    <w:rsid w:val="6F0B0272"/>
    <w:rsid w:val="7095B93E"/>
    <w:rsid w:val="724893D2"/>
    <w:rsid w:val="735FBE05"/>
    <w:rsid w:val="736FFF80"/>
    <w:rsid w:val="744639F2"/>
    <w:rsid w:val="7460F1EB"/>
    <w:rsid w:val="74C1F8D9"/>
    <w:rsid w:val="74F0843F"/>
    <w:rsid w:val="7655C664"/>
    <w:rsid w:val="7992D6AA"/>
    <w:rsid w:val="7B898F3A"/>
    <w:rsid w:val="7B94EFA6"/>
    <w:rsid w:val="7C19CDF6"/>
    <w:rsid w:val="7C9E0018"/>
    <w:rsid w:val="7DB45284"/>
    <w:rsid w:val="7E614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65DAC"/>
  <w15:chartTrackingRefBased/>
  <w15:docId w15:val="{1A1FD112-FBA1-477E-92BB-59C7E0562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3226"/>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23226"/>
    <w:pPr>
      <w:widowControl w:val="0"/>
      <w:spacing w:after="0" w:line="240" w:lineRule="auto"/>
    </w:pPr>
  </w:style>
  <w:style w:type="character" w:customStyle="1" w:styleId="NoSpacingChar">
    <w:name w:val="No Spacing Char"/>
    <w:basedOn w:val="DefaultParagraphFont"/>
    <w:link w:val="NoSpacing"/>
    <w:uiPriority w:val="1"/>
    <w:rsid w:val="00E23226"/>
  </w:style>
  <w:style w:type="paragraph" w:styleId="ListParagraph">
    <w:name w:val="List Paragraph"/>
    <w:basedOn w:val="Normal"/>
    <w:uiPriority w:val="34"/>
    <w:qFormat/>
    <w:rsid w:val="006E3565"/>
    <w:pPr>
      <w:ind w:left="720"/>
      <w:contextualSpacing/>
    </w:pPr>
  </w:style>
  <w:style w:type="character" w:styleId="CommentReference">
    <w:name w:val="annotation reference"/>
    <w:basedOn w:val="DefaultParagraphFont"/>
    <w:uiPriority w:val="99"/>
    <w:semiHidden/>
    <w:unhideWhenUsed/>
    <w:rsid w:val="00DC49E6"/>
    <w:rPr>
      <w:sz w:val="16"/>
      <w:szCs w:val="16"/>
    </w:rPr>
  </w:style>
  <w:style w:type="paragraph" w:styleId="CommentText">
    <w:name w:val="annotation text"/>
    <w:basedOn w:val="Normal"/>
    <w:link w:val="CommentTextChar"/>
    <w:uiPriority w:val="99"/>
    <w:semiHidden/>
    <w:unhideWhenUsed/>
    <w:rsid w:val="00DC49E6"/>
    <w:pPr>
      <w:spacing w:line="240" w:lineRule="auto"/>
    </w:pPr>
    <w:rPr>
      <w:sz w:val="20"/>
      <w:szCs w:val="20"/>
    </w:rPr>
  </w:style>
  <w:style w:type="character" w:customStyle="1" w:styleId="CommentTextChar">
    <w:name w:val="Comment Text Char"/>
    <w:basedOn w:val="DefaultParagraphFont"/>
    <w:link w:val="CommentText"/>
    <w:uiPriority w:val="99"/>
    <w:semiHidden/>
    <w:rsid w:val="00DC49E6"/>
    <w:rPr>
      <w:sz w:val="20"/>
      <w:szCs w:val="20"/>
    </w:rPr>
  </w:style>
  <w:style w:type="paragraph" w:styleId="CommentSubject">
    <w:name w:val="annotation subject"/>
    <w:basedOn w:val="CommentText"/>
    <w:next w:val="CommentText"/>
    <w:link w:val="CommentSubjectChar"/>
    <w:uiPriority w:val="99"/>
    <w:semiHidden/>
    <w:unhideWhenUsed/>
    <w:rsid w:val="00DC49E6"/>
    <w:rPr>
      <w:b/>
      <w:bCs/>
    </w:rPr>
  </w:style>
  <w:style w:type="character" w:customStyle="1" w:styleId="CommentSubjectChar">
    <w:name w:val="Comment Subject Char"/>
    <w:basedOn w:val="CommentTextChar"/>
    <w:link w:val="CommentSubject"/>
    <w:uiPriority w:val="99"/>
    <w:semiHidden/>
    <w:rsid w:val="00DC49E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E2B53-CB29-4AA1-BEBF-194572572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4403</TotalTime>
  <Pages>3</Pages>
  <Words>1313</Words>
  <Characters>7488</Characters>
  <Application>Microsoft Office Word</Application>
  <DocSecurity>0</DocSecurity>
  <Lines>62</Lines>
  <Paragraphs>17</Paragraphs>
  <ScaleCrop>false</ScaleCrop>
  <Company/>
  <LinksUpToDate>false</LinksUpToDate>
  <CharactersWithSpaces>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Allen</dc:creator>
  <cp:keywords/>
  <dc:description/>
  <cp:lastModifiedBy>Carrie Allen</cp:lastModifiedBy>
  <cp:revision>34</cp:revision>
  <dcterms:created xsi:type="dcterms:W3CDTF">2023-07-12T16:17:00Z</dcterms:created>
  <dcterms:modified xsi:type="dcterms:W3CDTF">2023-08-01T20:05:00Z</dcterms:modified>
</cp:coreProperties>
</file>