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B876" w14:textId="45F974AA" w:rsidR="004541FC" w:rsidRDefault="004541FC">
      <w:bookmarkStart w:id="0" w:name="_GoBack"/>
      <w:r>
        <w:t>Instructions for Submitting a Waiver Request</w:t>
      </w:r>
    </w:p>
    <w:bookmarkEnd w:id="0"/>
    <w:p w14:paraId="7F46F6F7" w14:textId="1290CA1C" w:rsidR="0069076E" w:rsidRDefault="00EF67EE">
      <w:r>
        <w:t xml:space="preserve">To apply for a waiver </w:t>
      </w:r>
      <w:r w:rsidR="004541FC">
        <w:t xml:space="preserve">the </w:t>
      </w:r>
      <w:r>
        <w:t>applicant must submit a copy of their disclosure form</w:t>
      </w:r>
      <w:r w:rsidR="004541FC">
        <w:t xml:space="preserve"> and any</w:t>
      </w:r>
      <w:r w:rsidR="006B1CAC">
        <w:t xml:space="preserve"> </w:t>
      </w:r>
      <w:r>
        <w:t>court documents</w:t>
      </w:r>
      <w:r w:rsidR="004541FC">
        <w:t xml:space="preserve">. </w:t>
      </w:r>
      <w:r w:rsidR="009A276F">
        <w:t>A</w:t>
      </w:r>
      <w:r>
        <w:t xml:space="preserve"> letter explaining what happened regarding </w:t>
      </w:r>
      <w:r w:rsidR="009A276F">
        <w:t xml:space="preserve">the applicant’s </w:t>
      </w:r>
      <w:r>
        <w:t>charge</w:t>
      </w:r>
      <w:r w:rsidR="009A276F">
        <w:t>, e</w:t>
      </w:r>
      <w:r>
        <w:t>xplaining how their life has improved since the charge</w:t>
      </w:r>
      <w:r w:rsidR="009A276F">
        <w:t xml:space="preserve">, </w:t>
      </w:r>
      <w:r>
        <w:t xml:space="preserve">and what </w:t>
      </w:r>
      <w:r w:rsidR="001B2768">
        <w:t xml:space="preserve">the </w:t>
      </w:r>
      <w:r>
        <w:t>applicant has done to better themselves</w:t>
      </w:r>
      <w:r w:rsidR="001B2768">
        <w:t>.</w:t>
      </w:r>
      <w:r>
        <w:t xml:space="preserve"> </w:t>
      </w:r>
      <w:r w:rsidR="004541FC">
        <w:t>T</w:t>
      </w:r>
      <w:r w:rsidR="001B2768">
        <w:t xml:space="preserve">he applicant </w:t>
      </w:r>
      <w:r w:rsidR="004541FC">
        <w:t xml:space="preserve">may also </w:t>
      </w:r>
      <w:r w:rsidR="001B2768">
        <w:t>submit</w:t>
      </w:r>
      <w:r>
        <w:t xml:space="preserve"> any letters of reference they choose.</w:t>
      </w:r>
    </w:p>
    <w:p w14:paraId="607D5AF6" w14:textId="57A6465F" w:rsidR="001B2768" w:rsidRPr="001B2768" w:rsidRDefault="001B2768" w:rsidP="001B2768">
      <w:r>
        <w:t>T</w:t>
      </w:r>
      <w:r w:rsidRPr="001B2768">
        <w:t xml:space="preserve">he provisions for granting waivers for excludable </w:t>
      </w:r>
      <w:r w:rsidR="004541FC">
        <w:t>Child Care and Development Block Grant (</w:t>
      </w:r>
      <w:r w:rsidRPr="001B2768">
        <w:t>CCDBG</w:t>
      </w:r>
      <w:r w:rsidR="004541FC">
        <w:t>)</w:t>
      </w:r>
      <w:r w:rsidRPr="001B2768">
        <w:t xml:space="preserve"> offenses are now limited to felony drug offe</w:t>
      </w:r>
      <w:r>
        <w:t>n</w:t>
      </w:r>
      <w:r w:rsidRPr="001B2768">
        <w:t xml:space="preserve">ses that occurred more than five years ago and misdemeanors and felonies not included in the list </w:t>
      </w:r>
      <w:r w:rsidRPr="001B2768">
        <w:rPr>
          <w:noProof/>
        </w:rPr>
        <w:drawing>
          <wp:inline distT="0" distB="0" distL="0" distR="0" wp14:anchorId="20FDE262" wp14:editId="46E291C2">
            <wp:extent cx="12192" cy="21342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768">
        <w:t>below</w:t>
      </w:r>
      <w:r w:rsidR="004541FC">
        <w:t>.</w:t>
      </w:r>
    </w:p>
    <w:p w14:paraId="44178BAC" w14:textId="77777777" w:rsidR="001B2768" w:rsidRPr="001B2768" w:rsidRDefault="001B2768" w:rsidP="008B7EDE">
      <w:r w:rsidRPr="001B2768">
        <w:t>Below is a listing of the excludable offenses under CCDBG that do NOT include a provision for requesting a waiver:</w:t>
      </w:r>
    </w:p>
    <w:p w14:paraId="1C0AB38D" w14:textId="20E69F2D" w:rsidR="006B1CAC" w:rsidRDefault="001B2768" w:rsidP="008B7EDE">
      <w:pPr>
        <w:pStyle w:val="ListParagraph"/>
        <w:numPr>
          <w:ilvl w:val="0"/>
          <w:numId w:val="2"/>
        </w:numPr>
      </w:pPr>
      <w:r w:rsidRPr="001B2768">
        <w:t>making materially false statements in connection with a criminal background check; registered on the State or National Sex Offender Registry;</w:t>
      </w:r>
    </w:p>
    <w:p w14:paraId="185D20D0" w14:textId="1226FE66" w:rsidR="006B1CAC" w:rsidRPr="001B2768" w:rsidRDefault="001B2768" w:rsidP="008B7EDE">
      <w:pPr>
        <w:pStyle w:val="ListParagraph"/>
        <w:numPr>
          <w:ilvl w:val="0"/>
          <w:numId w:val="2"/>
        </w:numPr>
      </w:pPr>
      <w:r w:rsidRPr="001B2768">
        <w:t xml:space="preserve">a felony </w:t>
      </w:r>
      <w:r w:rsidRPr="008B7EDE">
        <w:rPr>
          <w:u w:val="single"/>
        </w:rPr>
        <w:t>co</w:t>
      </w:r>
      <w:r w:rsidR="00E03F02" w:rsidRPr="006B1CAC">
        <w:rPr>
          <w:u w:val="single"/>
        </w:rPr>
        <w:t>nsisting</w:t>
      </w:r>
      <w:r w:rsidRPr="001B2768">
        <w:t xml:space="preserve"> of:</w:t>
      </w:r>
      <w:r>
        <w:t xml:space="preserve"> </w:t>
      </w:r>
      <w:r w:rsidRPr="001B2768">
        <w:rPr>
          <w:noProof/>
        </w:rPr>
        <w:drawing>
          <wp:inline distT="0" distB="0" distL="0" distR="0" wp14:anchorId="7CFE963D" wp14:editId="4DD6AF66">
            <wp:extent cx="3048" cy="3049"/>
            <wp:effectExtent l="0" t="0" r="0" b="0"/>
            <wp:docPr id="1742" name="Picture 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Picture 17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768">
        <w:t xml:space="preserve"> murder; </w:t>
      </w:r>
      <w:r w:rsidRPr="001B2768">
        <w:rPr>
          <w:noProof/>
        </w:rPr>
        <w:drawing>
          <wp:inline distT="0" distB="0" distL="0" distR="0" wp14:anchorId="4013C508" wp14:editId="517A89BD">
            <wp:extent cx="12192" cy="21342"/>
            <wp:effectExtent l="0" t="0" r="0" b="0"/>
            <wp:docPr id="6848" name="Picture 6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8" name="Picture 68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B2768">
        <w:t>child abuse or neglect; a crime against children, including child pornography; spousal abuse; a crime involving rape or sexual assault; kidnapping;</w:t>
      </w:r>
    </w:p>
    <w:p w14:paraId="48631A6B" w14:textId="46A12E30" w:rsidR="006B1CAC" w:rsidRPr="001B2768" w:rsidRDefault="001B2768" w:rsidP="008B7EDE">
      <w:pPr>
        <w:pStyle w:val="ListParagraph"/>
        <w:numPr>
          <w:ilvl w:val="0"/>
          <w:numId w:val="2"/>
        </w:numPr>
      </w:pPr>
      <w:bookmarkStart w:id="1" w:name="_Hlk27741447"/>
      <w:r w:rsidRPr="001B2768">
        <w:t>arson; physical assault or battery</w:t>
      </w:r>
      <w:bookmarkEnd w:id="1"/>
      <w:r w:rsidRPr="001B2768">
        <w:t xml:space="preserve">; drug-related offense committed during the preceding 5 years; </w:t>
      </w:r>
    </w:p>
    <w:p w14:paraId="44E883B5" w14:textId="77777777" w:rsidR="001B2768" w:rsidRPr="001B2768" w:rsidRDefault="001B2768" w:rsidP="008B7EDE">
      <w:pPr>
        <w:pStyle w:val="ListParagraph"/>
        <w:numPr>
          <w:ilvl w:val="0"/>
          <w:numId w:val="2"/>
        </w:numPr>
      </w:pPr>
      <w:r w:rsidRPr="001B2768">
        <w:t>has been convicted of a violent misdemeanor committed as an adult against a child, including the following crimes: child abuse; child endangerment; sexual assault; or misdemeanor involving child pornography.</w:t>
      </w:r>
    </w:p>
    <w:p w14:paraId="27118009" w14:textId="7E8907F7" w:rsidR="001B2768" w:rsidRPr="001B2768" w:rsidRDefault="001B2768" w:rsidP="001B2768">
      <w:r w:rsidRPr="001B2768">
        <w:t>Existing waivers for excludable offenses</w:t>
      </w:r>
      <w:r w:rsidR="00E03F02">
        <w:t>,</w:t>
      </w:r>
      <w:r w:rsidRPr="001B2768">
        <w:t xml:space="preserve"> not eligible for a waiver under CCDBG</w:t>
      </w:r>
      <w:r w:rsidR="009A276F">
        <w:t xml:space="preserve"> </w:t>
      </w:r>
      <w:r w:rsidRPr="001B2768">
        <w:t>will not be extended when the individual is reprinted</w:t>
      </w:r>
      <w:r w:rsidR="009A276F">
        <w:t xml:space="preserve">. Note that </w:t>
      </w:r>
      <w:r w:rsidRPr="001B2768">
        <w:t>all staff are reprinted every five years.</w:t>
      </w:r>
      <w:r w:rsidR="00DF76E3">
        <w:t xml:space="preserve">  Existing waivers for charges not included on the list above may be considered for an extension on a case by case basis.</w:t>
      </w:r>
    </w:p>
    <w:p w14:paraId="6569A578" w14:textId="636D66F8" w:rsidR="00EF67EE" w:rsidRDefault="00EF67EE">
      <w:r>
        <w:t xml:space="preserve">Applicants with recent </w:t>
      </w:r>
      <w:r w:rsidR="00E03F02" w:rsidRPr="001B2768">
        <w:t>arson</w:t>
      </w:r>
      <w:r w:rsidR="00E03F02">
        <w:t>,</w:t>
      </w:r>
      <w:r w:rsidR="00E03F02" w:rsidRPr="001B2768">
        <w:t xml:space="preserve"> physical assault or battery</w:t>
      </w:r>
      <w:r w:rsidR="00E03F02">
        <w:t>,</w:t>
      </w:r>
      <w:r w:rsidR="00E03F02" w:rsidRPr="00E03F02">
        <w:t xml:space="preserve"> </w:t>
      </w:r>
      <w:r w:rsidR="00E03F02">
        <w:t xml:space="preserve">or </w:t>
      </w:r>
      <w:r>
        <w:t xml:space="preserve">drug charges, within the last five years, </w:t>
      </w:r>
      <w:r w:rsidR="006B1CAC">
        <w:t xml:space="preserve">will proceed directly </w:t>
      </w:r>
      <w:r>
        <w:t xml:space="preserve">to the appeal process. Applicants with a felony charge consisting </w:t>
      </w:r>
      <w:proofErr w:type="gramStart"/>
      <w:r>
        <w:t>of:</w:t>
      </w:r>
      <w:proofErr w:type="gramEnd"/>
      <w:r>
        <w:t xml:space="preserve"> murder, child abuse or neglect, a crime against children, including</w:t>
      </w:r>
      <w:r w:rsidR="00E03F02">
        <w:t xml:space="preserve"> </w:t>
      </w:r>
      <w:r w:rsidR="00E03F02" w:rsidRPr="001B2768">
        <w:t>child pornography; spousal abuse; a crime involving rape or sexual assault; kidnapping</w:t>
      </w:r>
      <w:r w:rsidR="00E03F02">
        <w:t xml:space="preserve"> also</w:t>
      </w:r>
      <w:r w:rsidR="00E03F02" w:rsidRPr="00E03F02">
        <w:t xml:space="preserve"> </w:t>
      </w:r>
      <w:r w:rsidR="006B1CAC">
        <w:t>proceed directly</w:t>
      </w:r>
      <w:r w:rsidR="00E03F02" w:rsidRPr="00E03F02">
        <w:t xml:space="preserve"> to the appeal process.</w:t>
      </w:r>
    </w:p>
    <w:sectPr w:rsidR="00EF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1F5"/>
    <w:multiLevelType w:val="hybridMultilevel"/>
    <w:tmpl w:val="F2D6B0A6"/>
    <w:lvl w:ilvl="0" w:tplc="585052B2">
      <w:start w:val="1"/>
      <w:numFmt w:val="bullet"/>
      <w:lvlText w:val="*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C15C8">
      <w:start w:val="1"/>
      <w:numFmt w:val="bullet"/>
      <w:lvlText w:val="o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2" w:tplc="1534B040">
      <w:start w:val="1"/>
      <w:numFmt w:val="bullet"/>
      <w:lvlText w:val="▪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3" w:tplc="FA5068E4">
      <w:start w:val="1"/>
      <w:numFmt w:val="bullet"/>
      <w:lvlText w:val="•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4" w:tplc="79B481C4">
      <w:start w:val="1"/>
      <w:numFmt w:val="bullet"/>
      <w:lvlText w:val="o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5" w:tplc="A7ECBB62">
      <w:start w:val="1"/>
      <w:numFmt w:val="bullet"/>
      <w:lvlText w:val="▪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6" w:tplc="38D4ACBA">
      <w:start w:val="1"/>
      <w:numFmt w:val="bullet"/>
      <w:lvlText w:val="•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7" w:tplc="DDB28106">
      <w:start w:val="1"/>
      <w:numFmt w:val="bullet"/>
      <w:lvlText w:val="o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8" w:tplc="2248A936">
      <w:start w:val="1"/>
      <w:numFmt w:val="bullet"/>
      <w:lvlText w:val="▪"/>
      <w:lvlJc w:val="left"/>
      <w:pPr>
        <w:ind w:left="6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E00DA4"/>
    <w:multiLevelType w:val="hybridMultilevel"/>
    <w:tmpl w:val="EA6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EE"/>
    <w:rsid w:val="001B2768"/>
    <w:rsid w:val="004541FC"/>
    <w:rsid w:val="004D2FAD"/>
    <w:rsid w:val="005C5520"/>
    <w:rsid w:val="0069076E"/>
    <w:rsid w:val="006B1CAC"/>
    <w:rsid w:val="00853459"/>
    <w:rsid w:val="008B7EDE"/>
    <w:rsid w:val="009A276F"/>
    <w:rsid w:val="00A16FBA"/>
    <w:rsid w:val="00A86800"/>
    <w:rsid w:val="00B83B4F"/>
    <w:rsid w:val="00D54649"/>
    <w:rsid w:val="00DF76E3"/>
    <w:rsid w:val="00E03F02"/>
    <w:rsid w:val="00E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511D"/>
  <w15:chartTrackingRefBased/>
  <w15:docId w15:val="{045E4951-F6BA-4D1A-839C-845E4DD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Davis</dc:creator>
  <cp:keywords/>
  <dc:description/>
  <cp:lastModifiedBy>Patrick Hamilton</cp:lastModifiedBy>
  <cp:revision>2</cp:revision>
  <dcterms:created xsi:type="dcterms:W3CDTF">2020-12-04T18:41:00Z</dcterms:created>
  <dcterms:modified xsi:type="dcterms:W3CDTF">2020-12-04T18:41:00Z</dcterms:modified>
</cp:coreProperties>
</file>